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9"/>
        <w:snapToGrid/>
        <w:spacing w:line="360" w:lineRule="auto"/>
        <w:rPr>
          <w:rFonts w:hint="eastAsia" w:ascii="宋体" w:hAnsi="宋体" w:eastAsia="宋体" w:cs="宋体"/>
          <w:color w:val="000000" w:themeColor="text1"/>
          <w:szCs w:val="36"/>
          <w14:textFill>
            <w14:solidFill>
              <w14:schemeClr w14:val="tx1"/>
            </w14:solidFill>
          </w14:textFill>
        </w:rPr>
      </w:pPr>
      <w:bookmarkStart w:id="0" w:name="_Toc180400073"/>
      <w:bookmarkStart w:id="1" w:name="_Toc180049980"/>
      <w:bookmarkStart w:id="2" w:name="_Toc18814"/>
      <w:bookmarkStart w:id="17" w:name="_GoBack"/>
      <w:bookmarkEnd w:id="17"/>
      <w:r>
        <w:rPr>
          <w:rFonts w:hint="eastAsia" w:ascii="宋体" w:hAnsi="宋体" w:eastAsia="宋体" w:cs="宋体"/>
          <w:color w:val="000000" w:themeColor="text1"/>
          <w:szCs w:val="36"/>
          <w14:textFill>
            <w14:solidFill>
              <w14:schemeClr w14:val="tx1"/>
            </w14:solidFill>
          </w14:textFill>
        </w:rPr>
        <w:t>华南国家植物园白云山迁地保护示范区一期</w:t>
      </w:r>
    </w:p>
    <w:p>
      <w:pPr>
        <w:pStyle w:val="19"/>
        <w:snapToGrid/>
        <w:spacing w:line="360" w:lineRule="auto"/>
        <w:rPr>
          <w:rFonts w:hint="eastAsia" w:ascii="宋体" w:hAnsi="宋体" w:eastAsia="宋体"/>
          <w:color w:val="000000" w:themeColor="text1"/>
          <w:szCs w:val="36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color w:val="000000" w:themeColor="text1"/>
          <w:szCs w:val="36"/>
          <w14:textFill>
            <w14:solidFill>
              <w14:schemeClr w14:val="tx1"/>
            </w14:solidFill>
          </w14:textFill>
        </w:rPr>
        <w:t>初步设计说明</w:t>
      </w:r>
      <w:bookmarkEnd w:id="0"/>
      <w:bookmarkEnd w:id="1"/>
      <w:bookmarkEnd w:id="2"/>
    </w:p>
    <w:p>
      <w:pPr>
        <w:snapToGrid/>
        <w:spacing w:before="0" w:after="0" w:line="360" w:lineRule="auto"/>
        <w:ind w:firstLine="420" w:firstLineChars="200"/>
        <w:jc w:val="center"/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3"/>
        <w:spacing w:line="360" w:lineRule="auto"/>
        <w:jc w:val="both"/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bookmarkStart w:id="3" w:name="_Toc338771099"/>
      <w:bookmarkStart w:id="4" w:name="_Toc259539576"/>
      <w:bookmarkStart w:id="5" w:name="_Toc325531500"/>
      <w:bookmarkStart w:id="6" w:name="_Toc258858059"/>
      <w:bookmarkStart w:id="7" w:name="_Toc258858211"/>
      <w:bookmarkStart w:id="8" w:name="_Toc353955760"/>
      <w:bookmarkStart w:id="9" w:name="_Toc259873508"/>
      <w:bookmarkStart w:id="10" w:name="_Toc258934334"/>
      <w:bookmarkStart w:id="11" w:name="_Toc354561646"/>
      <w:bookmarkStart w:id="12" w:name="_Toc196221022"/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一、</w:t>
      </w:r>
      <w:r>
        <w:rPr>
          <w:rFonts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项目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概况</w:t>
      </w:r>
      <w:bookmarkEnd w:id="12"/>
    </w:p>
    <w:p>
      <w:pPr>
        <w:pStyle w:val="2"/>
        <w:spacing w:line="360" w:lineRule="auto"/>
        <w:jc w:val="both"/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bookmarkStart w:id="13" w:name="_Toc127124151"/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1.1.1</w:t>
      </w:r>
      <w:r>
        <w:rPr>
          <w:rFonts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项目</w:t>
      </w:r>
      <w:bookmarkEnd w:id="13"/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名称</w:t>
      </w:r>
    </w:p>
    <w:p>
      <w:pPr>
        <w:pStyle w:val="32"/>
        <w:spacing w:before="0" w:beforeAutospacing="0" w:after="0" w:afterAutospacing="0" w:line="360" w:lineRule="auto"/>
        <w:ind w:firstLine="482"/>
        <w:contextualSpacing/>
        <w:jc w:val="both"/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华南国家植物园白云山迁地保护示范区一期</w:t>
      </w:r>
    </w:p>
    <w:p>
      <w:pPr>
        <w:pStyle w:val="2"/>
        <w:spacing w:line="360" w:lineRule="auto"/>
        <w:jc w:val="both"/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1.1.2项目</w:t>
      </w:r>
      <w:r>
        <w:rPr>
          <w:rFonts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建设目标</w:t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和任务</w:t>
      </w:r>
    </w:p>
    <w:p>
      <w:pPr>
        <w:pStyle w:val="32"/>
        <w:spacing w:before="0" w:beforeAutospacing="0" w:after="0" w:afterAutospacing="0" w:line="360" w:lineRule="auto"/>
        <w:ind w:firstLine="482"/>
        <w:contextualSpacing/>
        <w:jc w:val="both"/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践行习近平生态文明思想，紧紧围绕绿美广东、绿美广州工作任务，推动国家植物园与城市融合发展，落实“1+3+N”城园融合体系建设工作安排，在市域范围内完善植物资源保护网络、提升全民自然科学素养和生物多样性保护意识、融合展示岭南园林风貌、讲好岭南植物故事。</w:t>
      </w:r>
    </w:p>
    <w:p>
      <w:pPr>
        <w:pStyle w:val="32"/>
        <w:spacing w:before="0" w:beforeAutospacing="0" w:after="0" w:afterAutospacing="0" w:line="360" w:lineRule="auto"/>
        <w:ind w:firstLine="482"/>
        <w:contextualSpacing/>
        <w:jc w:val="both"/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项目建设目标为构建集植物迁地保护、园林园艺展示、植物科研科普、自然科普教育、生态休闲游憩于一体的城市生态空间。以华南国家植物园城园融合体系建设为契机，依托白云山云台及麓湖景区山水格局和资源禀赋，完善游览步道体系；建设岭南园林园艺植物专类园，推广植物科研科普活动；建设公共服务点，完善景区服务网络。</w:t>
      </w:r>
    </w:p>
    <w:p>
      <w:pPr>
        <w:pStyle w:val="2"/>
        <w:spacing w:line="360" w:lineRule="auto"/>
        <w:jc w:val="both"/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1.1.3建设地点</w:t>
      </w:r>
    </w:p>
    <w:p>
      <w:pPr>
        <w:pStyle w:val="32"/>
        <w:spacing w:before="0" w:beforeAutospacing="0" w:after="0" w:afterAutospacing="0" w:line="360" w:lineRule="auto"/>
        <w:ind w:firstLine="482"/>
        <w:contextualSpacing/>
        <w:jc w:val="both"/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位于广州市白云区与越秀区交界处、白云山南麓，主要包括现状云台花园、麓湖公园。</w:t>
      </w:r>
    </w:p>
    <w:p>
      <w:pPr>
        <w:pStyle w:val="2"/>
        <w:spacing w:line="360" w:lineRule="auto"/>
        <w:jc w:val="both"/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1.1.4建设工期</w:t>
      </w:r>
    </w:p>
    <w:p>
      <w:pPr>
        <w:pStyle w:val="32"/>
        <w:spacing w:before="0" w:beforeAutospacing="0" w:after="0" w:afterAutospacing="0" w:line="360" w:lineRule="auto"/>
        <w:ind w:firstLine="482"/>
        <w:contextualSpacing/>
        <w:jc w:val="both"/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项目建设周期从202</w:t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5</w:t>
      </w:r>
      <w:r>
        <w:rPr>
          <w:rFonts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3</w:t>
      </w:r>
      <w:r>
        <w:rPr>
          <w:rFonts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月至20</w:t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26</w:t>
      </w:r>
      <w:r>
        <w:rPr>
          <w:rFonts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6</w:t>
      </w:r>
      <w:r>
        <w:rPr>
          <w:rFonts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；完工后</w:t>
      </w:r>
      <w:r>
        <w:rPr>
          <w:rFonts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养护期为一年。项目建设分为以下</w:t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几</w:t>
      </w:r>
      <w:r>
        <w:rPr>
          <w:rFonts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个阶段：</w:t>
      </w:r>
    </w:p>
    <w:p>
      <w:pPr>
        <w:pStyle w:val="32"/>
        <w:spacing w:before="0" w:beforeAutospacing="0" w:after="0" w:afterAutospacing="0" w:line="360" w:lineRule="auto"/>
        <w:ind w:firstLine="482"/>
        <w:contextualSpacing/>
        <w:jc w:val="both"/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（1）前期工作阶段</w:t>
      </w:r>
    </w:p>
    <w:p>
      <w:pPr>
        <w:pStyle w:val="32"/>
        <w:spacing w:before="0" w:beforeAutospacing="0" w:after="0" w:afterAutospacing="0" w:line="360" w:lineRule="auto"/>
        <w:ind w:firstLine="482"/>
        <w:contextualSpacing/>
        <w:jc w:val="both"/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（2）设计阶段</w:t>
      </w:r>
    </w:p>
    <w:p>
      <w:pPr>
        <w:pStyle w:val="32"/>
        <w:spacing w:before="0" w:beforeAutospacing="0" w:after="0" w:afterAutospacing="0" w:line="360" w:lineRule="auto"/>
        <w:ind w:firstLine="482"/>
        <w:contextualSpacing/>
        <w:jc w:val="both"/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（3）</w:t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施工阶段</w:t>
      </w:r>
    </w:p>
    <w:p>
      <w:pPr>
        <w:pStyle w:val="32"/>
        <w:spacing w:before="0" w:beforeAutospacing="0" w:after="0" w:afterAutospacing="0" w:line="360" w:lineRule="auto"/>
        <w:ind w:firstLine="482"/>
        <w:contextualSpacing/>
        <w:jc w:val="both"/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（4）</w:t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完工后养护</w:t>
      </w:r>
    </w:p>
    <w:p>
      <w:pPr>
        <w:pStyle w:val="32"/>
        <w:spacing w:before="0" w:beforeAutospacing="0" w:after="0" w:afterAutospacing="0" w:line="360" w:lineRule="auto"/>
        <w:ind w:firstLine="482"/>
        <w:contextualSpacing/>
        <w:jc w:val="both"/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为保证项目按计划实施，于2026年6月完工，进度安排力求紧凑，互相衔接，相互交叉，以利缩短建设周期。工程施工结束后，养护期为一年。项目建设进度初步计划如下表</w:t>
      </w:r>
      <w:r>
        <w:rPr>
          <w:rFonts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：</w:t>
      </w:r>
    </w:p>
    <w:tbl>
      <w:tblPr>
        <w:tblStyle w:val="21"/>
        <w:tblW w:w="9016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15"/>
        <w:gridCol w:w="3335"/>
        <w:gridCol w:w="416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8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54"/>
              <w:rPr>
                <w:rFonts w:hint="eastAsia" w:eastAsia="宋体"/>
                <w:color w:val="auto"/>
                <w:sz w:val="20"/>
                <w:szCs w:val="16"/>
              </w:rPr>
            </w:pPr>
            <w:r>
              <w:rPr>
                <w:rFonts w:eastAsia="宋体"/>
                <w:color w:val="auto"/>
                <w:sz w:val="20"/>
                <w:szCs w:val="16"/>
              </w:rPr>
              <w:t>序号</w:t>
            </w:r>
          </w:p>
        </w:tc>
        <w:tc>
          <w:tcPr>
            <w:tcW w:w="184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54"/>
              <w:rPr>
                <w:rFonts w:hint="eastAsia" w:eastAsia="宋体"/>
                <w:color w:val="auto"/>
                <w:sz w:val="20"/>
                <w:szCs w:val="16"/>
              </w:rPr>
            </w:pPr>
            <w:r>
              <w:rPr>
                <w:rFonts w:eastAsia="宋体"/>
                <w:color w:val="auto"/>
                <w:sz w:val="20"/>
                <w:szCs w:val="16"/>
              </w:rPr>
              <w:t>日期</w:t>
            </w:r>
          </w:p>
        </w:tc>
        <w:tc>
          <w:tcPr>
            <w:tcW w:w="231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54"/>
              <w:rPr>
                <w:rFonts w:hint="eastAsia" w:eastAsia="宋体"/>
                <w:color w:val="auto"/>
                <w:sz w:val="20"/>
                <w:szCs w:val="16"/>
              </w:rPr>
            </w:pPr>
            <w:r>
              <w:rPr>
                <w:rFonts w:eastAsia="宋体"/>
                <w:color w:val="auto"/>
                <w:sz w:val="20"/>
                <w:szCs w:val="16"/>
              </w:rPr>
              <w:t>项目进展进度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8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54"/>
              <w:rPr>
                <w:rFonts w:hint="eastAsia" w:eastAsia="宋体"/>
                <w:color w:val="auto"/>
                <w:sz w:val="20"/>
                <w:szCs w:val="16"/>
              </w:rPr>
            </w:pPr>
            <w:r>
              <w:rPr>
                <w:rFonts w:hint="eastAsia" w:eastAsia="宋体"/>
                <w:color w:val="auto"/>
                <w:sz w:val="20"/>
                <w:szCs w:val="16"/>
              </w:rPr>
              <w:t>1</w:t>
            </w:r>
          </w:p>
        </w:tc>
        <w:tc>
          <w:tcPr>
            <w:tcW w:w="184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54"/>
              <w:rPr>
                <w:rFonts w:hint="eastAsia" w:eastAsia="宋体" w:cs="Times New Roman"/>
                <w:color w:val="auto"/>
                <w:sz w:val="20"/>
                <w:szCs w:val="16"/>
              </w:rPr>
            </w:pPr>
            <w:r>
              <w:rPr>
                <w:rFonts w:hint="eastAsia" w:eastAsia="宋体" w:cs="Times New Roman"/>
                <w:color w:val="auto"/>
                <w:sz w:val="20"/>
                <w:szCs w:val="16"/>
              </w:rPr>
              <w:t>2025.3~2025.4</w:t>
            </w:r>
          </w:p>
        </w:tc>
        <w:tc>
          <w:tcPr>
            <w:tcW w:w="231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54"/>
              <w:rPr>
                <w:rFonts w:hint="eastAsia" w:eastAsia="宋体"/>
                <w:color w:val="auto"/>
                <w:sz w:val="20"/>
                <w:szCs w:val="16"/>
              </w:rPr>
            </w:pPr>
            <w:r>
              <w:rPr>
                <w:rFonts w:hint="eastAsia" w:eastAsia="宋体" w:cs="Times New Roman"/>
                <w:color w:val="auto"/>
                <w:sz w:val="20"/>
                <w:szCs w:val="16"/>
              </w:rPr>
              <w:t>前期工作阶段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8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54"/>
              <w:rPr>
                <w:rFonts w:hint="eastAsia" w:eastAsia="宋体"/>
                <w:color w:val="auto"/>
                <w:sz w:val="20"/>
                <w:szCs w:val="16"/>
              </w:rPr>
            </w:pPr>
            <w:r>
              <w:rPr>
                <w:rFonts w:hint="eastAsia" w:eastAsia="宋体"/>
                <w:color w:val="auto"/>
                <w:sz w:val="20"/>
                <w:szCs w:val="16"/>
              </w:rPr>
              <w:t>2</w:t>
            </w:r>
          </w:p>
        </w:tc>
        <w:tc>
          <w:tcPr>
            <w:tcW w:w="184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54"/>
              <w:rPr>
                <w:rFonts w:hint="eastAsia" w:eastAsia="宋体" w:cs="Times New Roman"/>
                <w:color w:val="auto"/>
                <w:sz w:val="20"/>
                <w:szCs w:val="16"/>
              </w:rPr>
            </w:pPr>
            <w:r>
              <w:rPr>
                <w:rFonts w:hint="eastAsia" w:eastAsia="宋体" w:cs="Times New Roman"/>
                <w:color w:val="auto"/>
                <w:sz w:val="20"/>
                <w:szCs w:val="16"/>
              </w:rPr>
              <w:t>202</w:t>
            </w:r>
            <w:r>
              <w:rPr>
                <w:rFonts w:hint="eastAsia" w:eastAsia="宋体"/>
                <w:color w:val="auto"/>
                <w:sz w:val="20"/>
                <w:szCs w:val="16"/>
              </w:rPr>
              <w:t>5.5~2025.6</w:t>
            </w:r>
          </w:p>
        </w:tc>
        <w:tc>
          <w:tcPr>
            <w:tcW w:w="231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54"/>
              <w:rPr>
                <w:rFonts w:hint="eastAsia" w:eastAsia="宋体"/>
                <w:color w:val="auto"/>
                <w:sz w:val="20"/>
                <w:szCs w:val="16"/>
              </w:rPr>
            </w:pPr>
            <w:r>
              <w:rPr>
                <w:rFonts w:hint="eastAsia" w:eastAsia="宋体"/>
                <w:color w:val="auto"/>
                <w:sz w:val="20"/>
                <w:szCs w:val="16"/>
              </w:rPr>
              <w:t>设计阶段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8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54"/>
              <w:rPr>
                <w:rFonts w:hint="eastAsia" w:eastAsia="宋体"/>
                <w:color w:val="auto"/>
                <w:sz w:val="20"/>
                <w:szCs w:val="16"/>
              </w:rPr>
            </w:pPr>
            <w:r>
              <w:rPr>
                <w:rFonts w:hint="eastAsia" w:eastAsia="宋体"/>
                <w:color w:val="auto"/>
                <w:sz w:val="20"/>
                <w:szCs w:val="16"/>
              </w:rPr>
              <w:t>3</w:t>
            </w:r>
          </w:p>
        </w:tc>
        <w:tc>
          <w:tcPr>
            <w:tcW w:w="184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54"/>
              <w:rPr>
                <w:rFonts w:hint="eastAsia" w:eastAsia="宋体" w:cs="Times New Roman"/>
                <w:color w:val="auto"/>
                <w:sz w:val="20"/>
                <w:szCs w:val="16"/>
              </w:rPr>
            </w:pPr>
            <w:r>
              <w:rPr>
                <w:rFonts w:hint="eastAsia" w:eastAsia="宋体"/>
                <w:color w:val="auto"/>
                <w:sz w:val="20"/>
                <w:szCs w:val="16"/>
              </w:rPr>
              <w:t>2025.6~2026.6</w:t>
            </w:r>
          </w:p>
        </w:tc>
        <w:tc>
          <w:tcPr>
            <w:tcW w:w="231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54"/>
              <w:rPr>
                <w:rFonts w:hint="eastAsia" w:eastAsia="宋体"/>
                <w:color w:val="auto"/>
                <w:sz w:val="20"/>
                <w:szCs w:val="16"/>
              </w:rPr>
            </w:pPr>
            <w:r>
              <w:rPr>
                <w:rFonts w:hint="eastAsia" w:eastAsia="宋体"/>
                <w:color w:val="auto"/>
                <w:sz w:val="20"/>
                <w:szCs w:val="16"/>
              </w:rPr>
              <w:t>施工阶段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8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54"/>
              <w:rPr>
                <w:rFonts w:hint="eastAsia" w:eastAsia="宋体"/>
                <w:color w:val="auto"/>
                <w:sz w:val="20"/>
                <w:szCs w:val="16"/>
              </w:rPr>
            </w:pPr>
            <w:r>
              <w:rPr>
                <w:rFonts w:hint="eastAsia" w:eastAsia="宋体"/>
                <w:color w:val="auto"/>
                <w:sz w:val="20"/>
                <w:szCs w:val="16"/>
              </w:rPr>
              <w:t>4</w:t>
            </w:r>
          </w:p>
        </w:tc>
        <w:tc>
          <w:tcPr>
            <w:tcW w:w="184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54"/>
              <w:rPr>
                <w:rFonts w:hint="eastAsia" w:eastAsia="宋体" w:cs="Times New Roman"/>
                <w:color w:val="auto"/>
                <w:sz w:val="20"/>
                <w:szCs w:val="16"/>
              </w:rPr>
            </w:pPr>
            <w:r>
              <w:rPr>
                <w:rFonts w:hint="eastAsia" w:eastAsia="宋体"/>
                <w:color w:val="auto"/>
                <w:sz w:val="20"/>
                <w:szCs w:val="16"/>
              </w:rPr>
              <w:t>2026.7~2027.6</w:t>
            </w:r>
          </w:p>
        </w:tc>
        <w:tc>
          <w:tcPr>
            <w:tcW w:w="231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54"/>
              <w:rPr>
                <w:rFonts w:hint="eastAsia" w:eastAsia="宋体"/>
                <w:color w:val="auto"/>
                <w:sz w:val="20"/>
                <w:szCs w:val="16"/>
              </w:rPr>
            </w:pPr>
            <w:r>
              <w:rPr>
                <w:rFonts w:hint="eastAsia" w:eastAsia="宋体"/>
                <w:color w:val="auto"/>
                <w:sz w:val="20"/>
                <w:szCs w:val="16"/>
              </w:rPr>
              <w:t>养护</w:t>
            </w:r>
          </w:p>
        </w:tc>
      </w:tr>
    </w:tbl>
    <w:p>
      <w:pPr>
        <w:pStyle w:val="32"/>
        <w:spacing w:before="0" w:beforeAutospacing="0" w:after="0" w:afterAutospacing="0" w:line="360" w:lineRule="auto"/>
        <w:ind w:firstLine="482"/>
        <w:contextualSpacing/>
        <w:jc w:val="both"/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2"/>
        <w:spacing w:line="360" w:lineRule="auto"/>
        <w:jc w:val="both"/>
        <w:rPr>
          <w:rFonts w:hint="eastAsia" w:ascii="宋体" w:hAnsi="宋体" w:eastAsia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1.1.5建设模式</w:t>
      </w:r>
    </w:p>
    <w:p>
      <w:pPr>
        <w:pStyle w:val="32"/>
        <w:spacing w:before="0" w:beforeAutospacing="0" w:after="0" w:afterAutospacing="0" w:line="360" w:lineRule="auto"/>
        <w:ind w:firstLine="482"/>
        <w:contextualSpacing/>
        <w:jc w:val="both"/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本项目建设单位为广州市林业和园林绿化工程建设中心，项目建成后移交给</w:t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白云山风景区麓湖景区管理中心及云台花园管理中心</w:t>
      </w:r>
      <w:r>
        <w:rPr>
          <w:rFonts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pStyle w:val="3"/>
        <w:spacing w:line="360" w:lineRule="auto"/>
        <w:jc w:val="both"/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bookmarkStart w:id="14" w:name="_Toc180049982"/>
      <w:bookmarkStart w:id="15" w:name="_Toc180400075"/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二、</w:t>
      </w:r>
      <w:bookmarkEnd w:id="14"/>
      <w:bookmarkEnd w:id="15"/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建设方案</w:t>
      </w:r>
    </w:p>
    <w:p>
      <w:pPr>
        <w:pStyle w:val="32"/>
        <w:spacing w:before="0" w:beforeAutospacing="0" w:after="0" w:afterAutospacing="0" w:line="360" w:lineRule="auto"/>
        <w:jc w:val="both"/>
        <w:rPr>
          <w:rFonts w:hint="eastAsia" w:ascii="宋体" w:hAnsi="宋体" w:eastAsia="宋体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1、工程设计的主要依据</w:t>
      </w:r>
    </w:p>
    <w:p>
      <w:pPr>
        <w:pStyle w:val="32"/>
        <w:spacing w:before="0" w:beforeAutospacing="0" w:after="0" w:afterAutospacing="0" w:line="360" w:lineRule="auto"/>
        <w:ind w:firstLine="482"/>
        <w:contextualSpacing/>
        <w:jc w:val="both"/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（1）法律法规</w:t>
      </w:r>
    </w:p>
    <w:p>
      <w:pPr>
        <w:pStyle w:val="32"/>
        <w:spacing w:before="0" w:beforeAutospacing="0" w:after="0" w:afterAutospacing="0" w:line="360" w:lineRule="auto"/>
        <w:ind w:firstLine="482"/>
        <w:contextualSpacing/>
        <w:jc w:val="both"/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1)</w:t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《中华人民共和国土地管理法》（2019年修正版）</w:t>
      </w:r>
    </w:p>
    <w:p>
      <w:pPr>
        <w:pStyle w:val="32"/>
        <w:spacing w:before="0" w:beforeAutospacing="0" w:after="0" w:afterAutospacing="0" w:line="360" w:lineRule="auto"/>
        <w:ind w:firstLine="482"/>
        <w:contextualSpacing/>
        <w:jc w:val="both"/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2)</w:t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《中华人民共和国环境保护法》（2014年）</w:t>
      </w:r>
    </w:p>
    <w:p>
      <w:pPr>
        <w:pStyle w:val="32"/>
        <w:spacing w:before="0" w:beforeAutospacing="0" w:after="0" w:afterAutospacing="0" w:line="360" w:lineRule="auto"/>
        <w:ind w:firstLine="482"/>
        <w:contextualSpacing/>
        <w:jc w:val="both"/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3)</w:t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《风景名胜区条例》(中华人民共和国国务院令第474号)</w:t>
      </w:r>
    </w:p>
    <w:p>
      <w:pPr>
        <w:pStyle w:val="32"/>
        <w:spacing w:before="0" w:beforeAutospacing="0" w:after="0" w:afterAutospacing="0" w:line="360" w:lineRule="auto"/>
        <w:ind w:firstLine="482"/>
        <w:contextualSpacing/>
        <w:jc w:val="both"/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4)</w:t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《广东省城市绿化条例》(2023 年修正)</w:t>
      </w:r>
    </w:p>
    <w:p>
      <w:pPr>
        <w:pStyle w:val="32"/>
        <w:spacing w:before="0" w:beforeAutospacing="0" w:after="0" w:afterAutospacing="0" w:line="360" w:lineRule="auto"/>
        <w:ind w:firstLine="482"/>
        <w:contextualSpacing/>
        <w:jc w:val="both"/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5)</w:t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《广州市绿化条例（2022年）》</w:t>
      </w:r>
    </w:p>
    <w:p>
      <w:pPr>
        <w:pStyle w:val="32"/>
        <w:spacing w:before="0" w:beforeAutospacing="0" w:after="0" w:afterAutospacing="0" w:line="360" w:lineRule="auto"/>
        <w:ind w:firstLine="482"/>
        <w:contextualSpacing/>
        <w:jc w:val="both"/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（2）相关政策</w:t>
      </w:r>
    </w:p>
    <w:p>
      <w:pPr>
        <w:pStyle w:val="32"/>
        <w:spacing w:before="0" w:beforeAutospacing="0" w:after="0" w:afterAutospacing="0" w:line="360" w:lineRule="auto"/>
        <w:ind w:firstLine="482"/>
        <w:contextualSpacing/>
        <w:jc w:val="both"/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1)</w:t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《国务院办公厅关于科学绿化的指导意见》（国办发〔2021〕19号）</w:t>
      </w:r>
    </w:p>
    <w:p>
      <w:pPr>
        <w:pStyle w:val="32"/>
        <w:spacing w:before="0" w:beforeAutospacing="0" w:after="0" w:afterAutospacing="0" w:line="360" w:lineRule="auto"/>
        <w:ind w:firstLine="482"/>
        <w:contextualSpacing/>
        <w:jc w:val="both"/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2)</w:t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《国务院关于同意在广东省广州市设立华南国家植物园的批复((国函(2022)50号）</w:t>
      </w:r>
    </w:p>
    <w:p>
      <w:pPr>
        <w:pStyle w:val="32"/>
        <w:spacing w:before="0" w:beforeAutospacing="0" w:after="0" w:afterAutospacing="0" w:line="360" w:lineRule="auto"/>
        <w:ind w:firstLine="482"/>
        <w:contextualSpacing/>
        <w:jc w:val="both"/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3)</w:t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《广东省人民政府办公厅关于科学绿化的实施意见》（粤府办〔2021〕48号）</w:t>
      </w:r>
    </w:p>
    <w:p>
      <w:pPr>
        <w:pStyle w:val="32"/>
        <w:spacing w:before="0" w:beforeAutospacing="0" w:after="0" w:afterAutospacing="0" w:line="360" w:lineRule="auto"/>
        <w:ind w:firstLine="482"/>
        <w:contextualSpacing/>
        <w:jc w:val="both"/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4)</w:t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《广州市关于科学绿化的实施意见》（穗办〔2021〕11 号）</w:t>
      </w:r>
    </w:p>
    <w:p>
      <w:pPr>
        <w:pStyle w:val="32"/>
        <w:spacing w:before="0" w:beforeAutospacing="0" w:after="0" w:afterAutospacing="0" w:line="360" w:lineRule="auto"/>
        <w:ind w:firstLine="482"/>
        <w:contextualSpacing/>
        <w:jc w:val="both"/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5)</w:t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《城市古树名木保护管理办法》（建设部城〔2002〕192 号）</w:t>
      </w:r>
    </w:p>
    <w:p>
      <w:pPr>
        <w:pStyle w:val="32"/>
        <w:spacing w:before="0" w:beforeAutospacing="0" w:after="0" w:afterAutospacing="0" w:line="360" w:lineRule="auto"/>
        <w:ind w:firstLine="482"/>
        <w:contextualSpacing/>
        <w:jc w:val="both"/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6)</w:t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《广州市海绵城市建设指标体系（试行）》（2017年）</w:t>
      </w:r>
    </w:p>
    <w:p>
      <w:pPr>
        <w:pStyle w:val="32"/>
        <w:spacing w:before="0" w:beforeAutospacing="0" w:after="0" w:afterAutospacing="0" w:line="360" w:lineRule="auto"/>
        <w:ind w:firstLine="482"/>
        <w:contextualSpacing/>
        <w:jc w:val="both"/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7)</w:t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《中共广东省委关于深入推进绿美广东生态建设的决定》（2022年）</w:t>
      </w:r>
    </w:p>
    <w:p>
      <w:pPr>
        <w:pStyle w:val="32"/>
        <w:spacing w:before="0" w:beforeAutospacing="0" w:after="0" w:afterAutospacing="0" w:line="360" w:lineRule="auto"/>
        <w:ind w:firstLine="482"/>
        <w:contextualSpacing/>
        <w:jc w:val="both"/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（3）上位规划</w:t>
      </w:r>
    </w:p>
    <w:p>
      <w:pPr>
        <w:pStyle w:val="32"/>
        <w:spacing w:before="0" w:beforeAutospacing="0" w:after="0" w:afterAutospacing="0" w:line="360" w:lineRule="auto"/>
        <w:ind w:firstLine="482"/>
        <w:contextualSpacing/>
        <w:jc w:val="both"/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1)</w:t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《广东省植物迁地保护体系规划（2024-2035年）》</w:t>
      </w:r>
    </w:p>
    <w:p>
      <w:pPr>
        <w:pStyle w:val="32"/>
        <w:spacing w:before="0" w:beforeAutospacing="0" w:after="0" w:afterAutospacing="0" w:line="360" w:lineRule="auto"/>
        <w:ind w:firstLine="482"/>
        <w:contextualSpacing/>
        <w:jc w:val="both"/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2)</w:t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《广东省风景名胜区体系规划(2015-2030）》</w:t>
      </w:r>
    </w:p>
    <w:p>
      <w:pPr>
        <w:pStyle w:val="32"/>
        <w:spacing w:before="0" w:beforeAutospacing="0" w:after="0" w:afterAutospacing="0" w:line="360" w:lineRule="auto"/>
        <w:ind w:firstLine="482"/>
        <w:contextualSpacing/>
        <w:jc w:val="both"/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3)</w:t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《广州市国土空间总体规划（2021-2035年）》</w:t>
      </w:r>
    </w:p>
    <w:p>
      <w:pPr>
        <w:pStyle w:val="32"/>
        <w:spacing w:before="0" w:beforeAutospacing="0" w:after="0" w:afterAutospacing="0" w:line="360" w:lineRule="auto"/>
        <w:ind w:firstLine="482"/>
        <w:contextualSpacing/>
        <w:jc w:val="both"/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4)</w:t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《广州市绿地系统规划(2021-2035)》</w:t>
      </w:r>
    </w:p>
    <w:p>
      <w:pPr>
        <w:pStyle w:val="32"/>
        <w:spacing w:before="0" w:beforeAutospacing="0" w:after="0" w:afterAutospacing="0" w:line="360" w:lineRule="auto"/>
        <w:ind w:firstLine="482"/>
        <w:contextualSpacing/>
        <w:jc w:val="both"/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5)</w:t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《广州市城市绿地系统海绵城市专项规划（2016-2030）》</w:t>
      </w:r>
    </w:p>
    <w:p>
      <w:pPr>
        <w:pStyle w:val="32"/>
        <w:spacing w:before="0" w:beforeAutospacing="0" w:after="0" w:afterAutospacing="0" w:line="360" w:lineRule="auto"/>
        <w:ind w:firstLine="482"/>
        <w:contextualSpacing/>
        <w:jc w:val="both"/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6)</w:t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《广州市白云山风景名胜区总体规划(2009-2025）》</w:t>
      </w:r>
    </w:p>
    <w:p>
      <w:pPr>
        <w:pStyle w:val="32"/>
        <w:spacing w:before="0" w:beforeAutospacing="0" w:after="0" w:afterAutospacing="0" w:line="360" w:lineRule="auto"/>
        <w:ind w:firstLine="482"/>
        <w:contextualSpacing/>
        <w:jc w:val="both"/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7)</w:t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《绿美广州五年行动计划（2023-2027年）》</w:t>
      </w:r>
    </w:p>
    <w:p>
      <w:pPr>
        <w:pStyle w:val="32"/>
        <w:spacing w:before="0" w:beforeAutospacing="0" w:after="0" w:afterAutospacing="0" w:line="360" w:lineRule="auto"/>
        <w:ind w:firstLine="482"/>
        <w:contextualSpacing/>
        <w:jc w:val="both"/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8)</w:t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《绿美白云山规划及建设方案（2023-2027年）》</w:t>
      </w:r>
    </w:p>
    <w:p>
      <w:pPr>
        <w:pStyle w:val="32"/>
        <w:spacing w:before="0" w:beforeAutospacing="0" w:after="0" w:afterAutospacing="0" w:line="360" w:lineRule="auto"/>
        <w:ind w:firstLine="482"/>
        <w:contextualSpacing/>
        <w:jc w:val="both"/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（4）规范标准</w:t>
      </w:r>
    </w:p>
    <w:p>
      <w:pPr>
        <w:pStyle w:val="32"/>
        <w:spacing w:before="0" w:beforeAutospacing="0" w:after="0" w:afterAutospacing="0" w:line="360" w:lineRule="auto"/>
        <w:ind w:firstLine="482"/>
        <w:contextualSpacing/>
        <w:jc w:val="both"/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1)</w:t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《国际植物园认证计划》（国际植物园保护联盟(BGCI)，2022年版）</w:t>
      </w:r>
    </w:p>
    <w:p>
      <w:pPr>
        <w:pStyle w:val="32"/>
        <w:spacing w:before="0" w:beforeAutospacing="0" w:after="0" w:afterAutospacing="0" w:line="360" w:lineRule="auto"/>
        <w:ind w:firstLine="482"/>
        <w:contextualSpacing/>
        <w:jc w:val="both"/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2)</w:t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《BGCI技术评估报告：如何定义植物园以及如何衡量植物园的表现和成功》（国际植物园保护联盟(BGCI)，2017年版)</w:t>
      </w:r>
    </w:p>
    <w:p>
      <w:pPr>
        <w:pStyle w:val="32"/>
        <w:spacing w:before="0" w:beforeAutospacing="0" w:after="0" w:afterAutospacing="0" w:line="360" w:lineRule="auto"/>
        <w:ind w:firstLine="482"/>
        <w:contextualSpacing/>
        <w:jc w:val="both"/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3)</w:t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《中国植物园标准体系：界定标准、技术规范、绩效评价与认证体系》(中国植物园联盟 2019年版)</w:t>
      </w:r>
    </w:p>
    <w:p>
      <w:pPr>
        <w:pStyle w:val="32"/>
        <w:spacing w:before="0" w:beforeAutospacing="0" w:after="0" w:afterAutospacing="0" w:line="360" w:lineRule="auto"/>
        <w:ind w:firstLine="482"/>
        <w:contextualSpacing/>
        <w:jc w:val="both"/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4)</w:t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《植物园设计标准》CJ/T300-2019</w:t>
      </w:r>
    </w:p>
    <w:p>
      <w:pPr>
        <w:pStyle w:val="32"/>
        <w:spacing w:before="0" w:beforeAutospacing="0" w:after="0" w:afterAutospacing="0" w:line="360" w:lineRule="auto"/>
        <w:ind w:firstLine="482"/>
        <w:contextualSpacing/>
        <w:jc w:val="both"/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5)</w:t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《城市绿化条例》(2017修订)</w:t>
      </w:r>
    </w:p>
    <w:p>
      <w:pPr>
        <w:pStyle w:val="32"/>
        <w:spacing w:before="0" w:beforeAutospacing="0" w:after="0" w:afterAutospacing="0" w:line="360" w:lineRule="auto"/>
        <w:ind w:firstLine="482"/>
        <w:contextualSpacing/>
        <w:jc w:val="both"/>
        <w:rPr>
          <w:rFonts w:hint="eastAsia" w:ascii="宋体" w:hAnsi="宋体" w:eastAsia="宋体"/>
          <w:color w:val="FF0000"/>
          <w:sz w:val="21"/>
          <w:szCs w:val="21"/>
        </w:rPr>
      </w:pP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6)</w:t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《城市绿地分类标准》（建设部CJ/T85-2017)</w:t>
      </w:r>
      <w:r>
        <w:rPr>
          <w:rFonts w:hint="eastAsia" w:ascii="宋体" w:hAnsi="宋体" w:eastAsia="宋体"/>
          <w:color w:val="FF0000"/>
          <w:sz w:val="21"/>
          <w:szCs w:val="21"/>
        </w:rPr>
        <w:t xml:space="preserve"> </w:t>
      </w:r>
    </w:p>
    <w:p>
      <w:pPr>
        <w:pStyle w:val="32"/>
        <w:spacing w:before="0" w:beforeAutospacing="0" w:after="0" w:afterAutospacing="0" w:line="360" w:lineRule="auto"/>
        <w:ind w:firstLine="482"/>
        <w:contextualSpacing/>
        <w:jc w:val="both"/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7)</w:t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《公园设计规范》 GB51192-2016</w:t>
      </w:r>
    </w:p>
    <w:p>
      <w:pPr>
        <w:pStyle w:val="32"/>
        <w:spacing w:before="0" w:beforeAutospacing="0" w:after="0" w:afterAutospacing="0" w:line="360" w:lineRule="auto"/>
        <w:ind w:firstLine="482"/>
        <w:contextualSpacing/>
        <w:jc w:val="both"/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8)</w:t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《无障碍设计规范》GB50763-2012</w:t>
      </w:r>
    </w:p>
    <w:p>
      <w:pPr>
        <w:pStyle w:val="32"/>
        <w:spacing w:before="0" w:beforeAutospacing="0" w:after="0" w:afterAutospacing="0" w:line="360" w:lineRule="auto"/>
        <w:ind w:firstLine="482"/>
        <w:contextualSpacing/>
        <w:jc w:val="both"/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9)</w:t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《城市给水工程规划规范》 GB50282-2016</w:t>
      </w:r>
    </w:p>
    <w:p>
      <w:pPr>
        <w:pStyle w:val="32"/>
        <w:spacing w:before="0" w:beforeAutospacing="0" w:after="0" w:afterAutospacing="0" w:line="360" w:lineRule="auto"/>
        <w:ind w:firstLine="482"/>
        <w:contextualSpacing/>
        <w:jc w:val="both"/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10)</w:t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《城市排水工程规划规范》 GB50318-2017</w:t>
      </w:r>
    </w:p>
    <w:p>
      <w:pPr>
        <w:pStyle w:val="32"/>
        <w:spacing w:before="0" w:beforeAutospacing="0" w:after="0" w:afterAutospacing="0" w:line="360" w:lineRule="auto"/>
        <w:ind w:firstLine="482"/>
        <w:contextualSpacing/>
        <w:jc w:val="both"/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11)</w:t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《建筑设计防火规范》GB50016-2014（2018年版）</w:t>
      </w:r>
    </w:p>
    <w:p>
      <w:pPr>
        <w:pStyle w:val="32"/>
        <w:spacing w:before="0" w:beforeAutospacing="0" w:after="0" w:afterAutospacing="0" w:line="360" w:lineRule="auto"/>
        <w:ind w:firstLine="482"/>
        <w:contextualSpacing/>
        <w:jc w:val="both"/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12)</w:t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《城市工程管线综合规划规范》 GB50289-2016</w:t>
      </w:r>
    </w:p>
    <w:p>
      <w:pPr>
        <w:pStyle w:val="32"/>
        <w:spacing w:before="0" w:beforeAutospacing="0" w:after="0" w:afterAutospacing="0" w:line="360" w:lineRule="auto"/>
        <w:ind w:firstLine="482"/>
        <w:contextualSpacing/>
        <w:jc w:val="both"/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13)</w:t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《消防给水及消火栓系统技术规范》GB50974-2014</w:t>
      </w:r>
    </w:p>
    <w:p>
      <w:pPr>
        <w:pStyle w:val="32"/>
        <w:spacing w:before="0" w:beforeAutospacing="0" w:after="0" w:afterAutospacing="0" w:line="360" w:lineRule="auto"/>
        <w:ind w:firstLine="482"/>
        <w:contextualSpacing/>
        <w:jc w:val="both"/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14)</w:t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《自动喷水灭火系统设计规范》GB50084-2017</w:t>
      </w:r>
    </w:p>
    <w:p>
      <w:pPr>
        <w:pStyle w:val="32"/>
        <w:spacing w:before="0" w:beforeAutospacing="0" w:after="0" w:afterAutospacing="0" w:line="360" w:lineRule="auto"/>
        <w:ind w:firstLine="482"/>
        <w:contextualSpacing/>
        <w:jc w:val="both"/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15)</w:t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《气体灭火系统设计规范》GB50370-2005</w:t>
      </w:r>
    </w:p>
    <w:p>
      <w:pPr>
        <w:pStyle w:val="32"/>
        <w:spacing w:before="0" w:beforeAutospacing="0" w:after="0" w:afterAutospacing="0" w:line="360" w:lineRule="auto"/>
        <w:ind w:firstLine="482"/>
        <w:contextualSpacing/>
        <w:jc w:val="both"/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16)</w:t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《城市夜景照明设计规范》 JGJ/T163-2008</w:t>
      </w:r>
    </w:p>
    <w:p>
      <w:pPr>
        <w:pStyle w:val="32"/>
        <w:spacing w:before="0" w:beforeAutospacing="0" w:after="0" w:afterAutospacing="0" w:line="360" w:lineRule="auto"/>
        <w:ind w:firstLine="482"/>
        <w:contextualSpacing/>
        <w:jc w:val="both"/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17)</w:t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《供配电系统设计规范》 GB50052-2009</w:t>
      </w:r>
    </w:p>
    <w:p>
      <w:pPr>
        <w:pStyle w:val="32"/>
        <w:spacing w:before="0" w:beforeAutospacing="0" w:after="0" w:afterAutospacing="0" w:line="360" w:lineRule="auto"/>
        <w:ind w:firstLine="482"/>
        <w:contextualSpacing/>
        <w:jc w:val="both"/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18)</w:t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《电力工程电缆设计规范》 GB50217-2018</w:t>
      </w:r>
    </w:p>
    <w:p>
      <w:pPr>
        <w:pStyle w:val="32"/>
        <w:spacing w:before="0" w:beforeAutospacing="0" w:after="0" w:afterAutospacing="0" w:line="360" w:lineRule="auto"/>
        <w:ind w:firstLine="482"/>
        <w:contextualSpacing/>
        <w:jc w:val="both"/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19)</w:t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《建筑物防雷设计规范》 GB50057-2010 年版</w:t>
      </w:r>
    </w:p>
    <w:p>
      <w:pPr>
        <w:pStyle w:val="32"/>
        <w:spacing w:before="0" w:beforeAutospacing="0" w:after="0" w:afterAutospacing="0" w:line="360" w:lineRule="auto"/>
        <w:ind w:firstLine="482"/>
        <w:contextualSpacing/>
        <w:jc w:val="both"/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20)</w:t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《建筑照明设计标准》 GB50034-2013</w:t>
      </w:r>
    </w:p>
    <w:p>
      <w:pPr>
        <w:pStyle w:val="32"/>
        <w:spacing w:before="0" w:beforeAutospacing="0" w:after="0" w:afterAutospacing="0" w:line="360" w:lineRule="auto"/>
        <w:ind w:firstLine="482"/>
        <w:contextualSpacing/>
        <w:jc w:val="both"/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21)</w:t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《城市排水工程规划规范》(GB50318-2017)</w:t>
      </w:r>
    </w:p>
    <w:p>
      <w:pPr>
        <w:pStyle w:val="32"/>
        <w:spacing w:before="0" w:beforeAutospacing="0" w:after="0" w:afterAutospacing="0" w:line="360" w:lineRule="auto"/>
        <w:ind w:firstLine="482"/>
        <w:contextualSpacing/>
        <w:jc w:val="both"/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22)</w:t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《室外给水设计标准》(GB50013-2018);</w:t>
      </w:r>
    </w:p>
    <w:p>
      <w:pPr>
        <w:pStyle w:val="32"/>
        <w:spacing w:before="0" w:beforeAutospacing="0" w:after="0" w:afterAutospacing="0" w:line="360" w:lineRule="auto"/>
        <w:ind w:firstLine="482"/>
        <w:contextualSpacing/>
        <w:jc w:val="both"/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23)</w:t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《生活饮用水卫生标准》(GB5749-2006);</w:t>
      </w:r>
    </w:p>
    <w:p>
      <w:pPr>
        <w:pStyle w:val="32"/>
        <w:spacing w:before="0" w:beforeAutospacing="0" w:after="0" w:afterAutospacing="0" w:line="360" w:lineRule="auto"/>
        <w:ind w:firstLine="482"/>
        <w:contextualSpacing/>
        <w:jc w:val="both"/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24)</w:t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《饮用净水水质标准》(CJ94-2005);</w:t>
      </w:r>
    </w:p>
    <w:p>
      <w:pPr>
        <w:pStyle w:val="32"/>
        <w:spacing w:before="0" w:beforeAutospacing="0" w:after="0" w:afterAutospacing="0" w:line="360" w:lineRule="auto"/>
        <w:ind w:firstLine="482"/>
        <w:contextualSpacing/>
        <w:jc w:val="both"/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25)</w:t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《地表水环境质量标准》(GB3838-2002);</w:t>
      </w:r>
    </w:p>
    <w:p>
      <w:pPr>
        <w:pStyle w:val="32"/>
        <w:spacing w:before="0" w:beforeAutospacing="0" w:after="0" w:afterAutospacing="0" w:line="360" w:lineRule="auto"/>
        <w:ind w:firstLine="482"/>
        <w:contextualSpacing/>
        <w:jc w:val="both"/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26)</w:t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《喷灌工程技术规范》(GB/T50085-2007);</w:t>
      </w:r>
    </w:p>
    <w:p>
      <w:pPr>
        <w:pStyle w:val="32"/>
        <w:spacing w:before="0" w:beforeAutospacing="0" w:after="0" w:afterAutospacing="0" w:line="360" w:lineRule="auto"/>
        <w:jc w:val="both"/>
        <w:rPr>
          <w:rFonts w:hint="eastAsia" w:ascii="宋体" w:hAnsi="宋体" w:eastAsia="宋体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2. 工程建设规模和设计范围</w:t>
      </w:r>
    </w:p>
    <w:p>
      <w:pPr>
        <w:pStyle w:val="32"/>
        <w:spacing w:before="0" w:beforeAutospacing="0" w:after="0" w:afterAutospacing="0" w:line="360" w:lineRule="auto"/>
        <w:jc w:val="both"/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ascii="宋体" w:hAnsi="宋体" w:eastAsia="宋体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2.1工程概况：</w:t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建设范围内的绿化景观工程、园建及配套工程、建筑工程。</w:t>
      </w:r>
    </w:p>
    <w:p>
      <w:pPr>
        <w:pStyle w:val="32"/>
        <w:spacing w:before="0" w:beforeAutospacing="0" w:after="0" w:afterAutospacing="0" w:line="360" w:lineRule="auto"/>
        <w:jc w:val="both"/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hAnsi="宋体" w:eastAsia="宋体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2.2建设规模：</w:t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项目实施面积约</w:t>
      </w:r>
      <w:r>
        <w:rPr>
          <w:rFonts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88513</w:t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平方米。拟建设专类园</w:t>
      </w:r>
      <w:r>
        <w:rPr>
          <w:rFonts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个，拟新建驿站</w:t>
      </w:r>
      <w:r>
        <w:rPr>
          <w:rFonts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座，拆除现状</w:t>
      </w:r>
      <w:r>
        <w:rPr>
          <w:rFonts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座厕所约</w:t>
      </w:r>
      <w:r>
        <w:rPr>
          <w:rFonts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26</w:t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平方米，新建公共厕所</w:t>
      </w:r>
      <w:r>
        <w:rPr>
          <w:rFonts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座约</w:t>
      </w:r>
      <w:r>
        <w:rPr>
          <w:rFonts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100</w:t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平方米，改建温室服务用房</w:t>
      </w:r>
      <w:r>
        <w:rPr>
          <w:rFonts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座，建筑总面积为</w:t>
      </w:r>
      <w:r>
        <w:rPr>
          <w:rFonts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1317</w:t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平方米，建筑基底面积为</w:t>
      </w:r>
      <w:r>
        <w:rPr>
          <w:rFonts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2129</w:t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平方米。</w:t>
      </w:r>
    </w:p>
    <w:p>
      <w:pPr>
        <w:pStyle w:val="32"/>
        <w:spacing w:before="0" w:beforeAutospacing="0" w:after="0" w:afterAutospacing="0" w:line="360" w:lineRule="auto"/>
        <w:jc w:val="both"/>
        <w:rPr>
          <w:rFonts w:ascii="宋体" w:hAnsi="宋体" w:eastAsia="宋体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3.总体设计</w:t>
      </w:r>
    </w:p>
    <w:p>
      <w:pPr>
        <w:pStyle w:val="32"/>
        <w:spacing w:before="0" w:beforeAutospacing="0" w:after="0" w:afterAutospacing="0" w:line="360" w:lineRule="auto"/>
        <w:jc w:val="both"/>
        <w:rPr>
          <w:rFonts w:ascii="宋体" w:hAnsi="宋体" w:eastAsia="宋体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3.1设计原则</w:t>
      </w:r>
    </w:p>
    <w:p>
      <w:pPr>
        <w:pStyle w:val="32"/>
        <w:spacing w:before="0" w:beforeAutospacing="0" w:after="0" w:afterAutospacing="0" w:line="360" w:lineRule="auto"/>
        <w:ind w:firstLine="482"/>
        <w:contextualSpacing/>
        <w:jc w:val="both"/>
        <w:rPr>
          <w:rFonts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（1）遵循生态优先</w:t>
      </w:r>
    </w:p>
    <w:p>
      <w:pPr>
        <w:pStyle w:val="32"/>
        <w:spacing w:before="0" w:beforeAutospacing="0" w:after="0" w:afterAutospacing="0" w:line="360" w:lineRule="auto"/>
        <w:ind w:firstLine="482"/>
        <w:contextualSpacing/>
        <w:jc w:val="both"/>
        <w:rPr>
          <w:rFonts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——新增设施应减少对生态的干扰和破坏，避开现状树木，对树木进行保护，结合白云山风景区的景观风貌和建筑风格融合设计。</w:t>
      </w:r>
    </w:p>
    <w:p>
      <w:pPr>
        <w:pStyle w:val="32"/>
        <w:spacing w:before="0" w:beforeAutospacing="0" w:after="0" w:afterAutospacing="0" w:line="360" w:lineRule="auto"/>
        <w:ind w:firstLine="482"/>
        <w:contextualSpacing/>
        <w:jc w:val="both"/>
        <w:rPr>
          <w:rFonts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（2）遵循科学布局</w:t>
      </w:r>
    </w:p>
    <w:p>
      <w:pPr>
        <w:pStyle w:val="32"/>
        <w:spacing w:before="0" w:beforeAutospacing="0" w:after="0" w:afterAutospacing="0" w:line="360" w:lineRule="auto"/>
        <w:ind w:firstLine="482"/>
        <w:contextualSpacing/>
        <w:jc w:val="both"/>
        <w:rPr>
          <w:rFonts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——在充分调研基础上，按照相关的法律法规和规范标准，科学合理布局园路广场、服务驿站的选址及规模，科学绿化种植。</w:t>
      </w:r>
    </w:p>
    <w:p>
      <w:pPr>
        <w:pStyle w:val="32"/>
        <w:spacing w:before="0" w:beforeAutospacing="0" w:after="0" w:afterAutospacing="0" w:line="360" w:lineRule="auto"/>
        <w:ind w:firstLine="482"/>
        <w:contextualSpacing/>
        <w:jc w:val="both"/>
        <w:rPr>
          <w:rFonts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（3）遵循可持续性发展</w:t>
      </w:r>
    </w:p>
    <w:p>
      <w:pPr>
        <w:pStyle w:val="32"/>
        <w:spacing w:before="0" w:beforeAutospacing="0" w:after="0" w:afterAutospacing="0" w:line="360" w:lineRule="auto"/>
        <w:ind w:firstLine="482"/>
        <w:contextualSpacing/>
        <w:jc w:val="both"/>
        <w:rPr>
          <w:rFonts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——采用可持续的设计理念和技术，实现资源的有效利用、降低环境污染，为未来的森林保护和旅游发展打下坚实的基础，减少后期管理维护费用。</w:t>
      </w:r>
    </w:p>
    <w:p>
      <w:pPr>
        <w:pStyle w:val="32"/>
        <w:spacing w:before="0" w:beforeAutospacing="0" w:after="0" w:afterAutospacing="0" w:line="360" w:lineRule="auto"/>
        <w:ind w:firstLine="482"/>
        <w:contextualSpacing/>
        <w:jc w:val="both"/>
        <w:rPr>
          <w:rFonts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（4）遵循文化特色和美观性</w:t>
      </w:r>
    </w:p>
    <w:p>
      <w:pPr>
        <w:pStyle w:val="32"/>
        <w:spacing w:before="0" w:beforeAutospacing="0" w:after="0" w:afterAutospacing="0" w:line="360" w:lineRule="auto"/>
        <w:ind w:firstLine="482"/>
        <w:contextualSpacing/>
        <w:jc w:val="both"/>
        <w:rPr>
          <w:rFonts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——设计风格与周边环境相协调，实用且具有观赏价值。景观赋予文化内涵，体现在地域文化元素、历史景观资源的利用。</w:t>
      </w:r>
    </w:p>
    <w:p>
      <w:pPr>
        <w:pStyle w:val="32"/>
        <w:spacing w:before="0" w:beforeAutospacing="0" w:after="0" w:afterAutospacing="0" w:line="360" w:lineRule="auto"/>
        <w:ind w:firstLine="482"/>
        <w:contextualSpacing/>
        <w:jc w:val="both"/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3.2总图设计：</w:t>
      </w: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规划在现有生态基底和公共设施基础上，建设白云山迁地保护示范区，提升生态环境、丰富植物展示功能、完善自然教育科普功能、建设科普游览路径及配套服务设施，主要包括“一园两贯通”，即</w:t>
      </w:r>
    </w:p>
    <w:p>
      <w:pPr>
        <w:pStyle w:val="32"/>
        <w:spacing w:before="0" w:beforeAutospacing="0" w:after="0" w:afterAutospacing="0" w:line="360" w:lineRule="auto"/>
        <w:ind w:firstLine="482"/>
        <w:contextualSpacing/>
        <w:jc w:val="both"/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一园</w:t>
      </w:r>
    </w:p>
    <w:p>
      <w:pPr>
        <w:pStyle w:val="32"/>
        <w:spacing w:before="0" w:beforeAutospacing="0" w:after="0" w:afterAutospacing="0" w:line="360" w:lineRule="auto"/>
        <w:ind w:firstLine="482"/>
        <w:contextualSpacing/>
        <w:jc w:val="both"/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1.结合11号线云台花园站地铁口复绿，建设锦葵专类园，完善华南国家植物园体系；</w:t>
      </w:r>
    </w:p>
    <w:p>
      <w:pPr>
        <w:pStyle w:val="32"/>
        <w:spacing w:before="0" w:beforeAutospacing="0" w:after="0" w:afterAutospacing="0" w:line="360" w:lineRule="auto"/>
        <w:ind w:firstLine="482"/>
        <w:contextualSpacing/>
        <w:jc w:val="both"/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两贯通</w:t>
      </w:r>
    </w:p>
    <w:p>
      <w:pPr>
        <w:pStyle w:val="32"/>
        <w:spacing w:before="0" w:beforeAutospacing="0" w:after="0" w:afterAutospacing="0" w:line="360" w:lineRule="auto"/>
        <w:ind w:firstLine="482"/>
        <w:contextualSpacing/>
        <w:jc w:val="both"/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2.建设云台花园谧林漫步道，将锦葵科植物专类园向北与云萝植物园相连通，并在漫步道沿线扩建沙漠植物专类园、打造附生植物景观节点、新建月季驿站，串联月季园（月季专类植物引种不纳入本次项目建设）</w:t>
      </w:r>
    </w:p>
    <w:p>
      <w:pPr>
        <w:pStyle w:val="32"/>
        <w:spacing w:before="0" w:beforeAutospacing="0" w:after="0" w:afterAutospacing="0" w:line="360" w:lineRule="auto"/>
        <w:ind w:firstLine="482"/>
        <w:contextualSpacing/>
        <w:jc w:val="both"/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3.贯通麓湖环湖跑道，将锦葵园与麓湖、云道相连通，畅通游线，完善厕所配套设施等，高品质打造白云山迁地保护示范区，推动城园融合体系构建。</w:t>
      </w:r>
    </w:p>
    <w:p>
      <w:pPr>
        <w:pStyle w:val="32"/>
        <w:spacing w:line="360" w:lineRule="auto"/>
        <w:jc w:val="both"/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6477000" cy="3642995"/>
            <wp:effectExtent l="0" t="0" r="0" b="0"/>
            <wp:docPr id="359478662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478662" name="图片 1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87842" cy="3649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2"/>
        <w:spacing w:line="360" w:lineRule="auto"/>
        <w:ind w:firstLine="421" w:firstLineChars="200"/>
        <w:jc w:val="center"/>
        <w:rPr>
          <w:rFonts w:hint="eastAsia" w:ascii="宋体" w:hAnsi="宋体" w:eastAsia="宋体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总平面效果图</w:t>
      </w:r>
    </w:p>
    <w:p>
      <w:pPr>
        <w:widowControl/>
        <w:snapToGrid/>
        <w:spacing w:before="0" w:after="0" w:line="240" w:lineRule="auto"/>
        <w:rPr>
          <w:rFonts w:hint="eastAsia" w:ascii="宋体" w:hAnsi="宋体" w:eastAsia="宋体" w:cs="Times New Roman"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4.树木保护</w:t>
      </w:r>
    </w:p>
    <w:p>
      <w:pPr>
        <w:pStyle w:val="32"/>
        <w:spacing w:before="0" w:beforeAutospacing="0" w:after="0" w:afterAutospacing="0" w:line="360" w:lineRule="auto"/>
        <w:ind w:firstLine="482"/>
        <w:contextualSpacing/>
        <w:jc w:val="both"/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本项目为华南国家植物园白云山迁地保护示范区一期工程，需进行改造优化，项目调查范围内现有的树木共1720株（古树后续资源28株、大树1309株、其他树木383株），通过调整局部方案，最大限度保留现有树木，拟采取原址保护1710株树木（古树后续资源28株、大树1309株、其他树木373株）、迁移利用10株树木（均为其他树木）。</w:t>
      </w:r>
    </w:p>
    <w:tbl>
      <w:tblPr>
        <w:tblStyle w:val="49"/>
        <w:tblW w:w="817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2"/>
        <w:gridCol w:w="1200"/>
        <w:gridCol w:w="1900"/>
        <w:gridCol w:w="1762"/>
        <w:gridCol w:w="1270"/>
        <w:gridCol w:w="12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tblHeader/>
          <w:jc w:val="center"/>
        </w:trPr>
        <w:tc>
          <w:tcPr>
            <w:tcW w:w="772" w:type="dxa"/>
            <w:shd w:val="clear" w:color="auto" w:fill="BEBEBE"/>
            <w:vAlign w:val="center"/>
          </w:tcPr>
          <w:p>
            <w:pPr>
              <w:spacing w:before="0" w:after="0" w:line="0" w:lineRule="atLeast"/>
              <w:jc w:val="center"/>
              <w:rPr>
                <w:rFonts w:hint="eastAsia" w:ascii="华文仿宋" w:hAnsi="华文仿宋" w:eastAsia="华文仿宋" w:cs="华文仿宋"/>
                <w:b/>
                <w:bCs/>
                <w:sz w:val="24"/>
                <w:szCs w:val="24"/>
                <w14:ligatures w14:val="standardContextual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4"/>
                <w:szCs w:val="24"/>
                <w14:ligatures w14:val="standardContextual"/>
              </w:rPr>
              <w:t>序号</w:t>
            </w:r>
          </w:p>
        </w:tc>
        <w:tc>
          <w:tcPr>
            <w:tcW w:w="1200" w:type="dxa"/>
            <w:shd w:val="clear" w:color="auto" w:fill="BEBEBE"/>
            <w:vAlign w:val="center"/>
          </w:tcPr>
          <w:p>
            <w:pPr>
              <w:spacing w:before="0" w:after="0" w:line="0" w:lineRule="atLeast"/>
              <w:jc w:val="center"/>
              <w:rPr>
                <w:rFonts w:hint="eastAsia" w:ascii="华文仿宋" w:hAnsi="华文仿宋" w:eastAsia="华文仿宋" w:cs="华文仿宋"/>
                <w:b/>
                <w:bCs/>
                <w:sz w:val="24"/>
                <w:szCs w:val="24"/>
                <w14:ligatures w14:val="standardContextual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4"/>
                <w:szCs w:val="24"/>
                <w14:ligatures w14:val="standardContextual"/>
              </w:rPr>
              <w:t>树木类型</w:t>
            </w:r>
          </w:p>
        </w:tc>
        <w:tc>
          <w:tcPr>
            <w:tcW w:w="1900" w:type="dxa"/>
            <w:shd w:val="clear" w:color="auto" w:fill="BEBEBE"/>
            <w:vAlign w:val="center"/>
          </w:tcPr>
          <w:p>
            <w:pPr>
              <w:spacing w:before="0" w:after="0" w:line="0" w:lineRule="atLeast"/>
              <w:jc w:val="center"/>
              <w:rPr>
                <w:rFonts w:hint="eastAsia" w:ascii="华文仿宋" w:hAnsi="华文仿宋" w:eastAsia="华文仿宋" w:cs="华文仿宋"/>
                <w:b/>
                <w:bCs/>
                <w:sz w:val="24"/>
                <w:szCs w:val="24"/>
                <w14:ligatures w14:val="standardContextual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4"/>
                <w:szCs w:val="24"/>
                <w14:ligatures w14:val="standardContextual"/>
              </w:rPr>
              <w:t>原址保护（株）</w:t>
            </w:r>
          </w:p>
        </w:tc>
        <w:tc>
          <w:tcPr>
            <w:tcW w:w="1762" w:type="dxa"/>
            <w:shd w:val="clear" w:color="auto" w:fill="BEBEBE"/>
            <w:vAlign w:val="center"/>
          </w:tcPr>
          <w:p>
            <w:pPr>
              <w:spacing w:before="0" w:after="0" w:line="0" w:lineRule="atLeast"/>
              <w:jc w:val="center"/>
              <w:rPr>
                <w:rFonts w:hint="eastAsia" w:ascii="华文仿宋" w:hAnsi="华文仿宋" w:eastAsia="华文仿宋" w:cs="华文仿宋"/>
                <w:b/>
                <w:bCs/>
                <w:sz w:val="24"/>
                <w:szCs w:val="24"/>
                <w14:ligatures w14:val="standardContextual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4"/>
                <w:szCs w:val="24"/>
                <w14:ligatures w14:val="standardContextual"/>
              </w:rPr>
              <w:t>迁移利用（株）</w:t>
            </w:r>
          </w:p>
        </w:tc>
        <w:tc>
          <w:tcPr>
            <w:tcW w:w="1270" w:type="dxa"/>
            <w:shd w:val="clear" w:color="auto" w:fill="BEBEBE"/>
            <w:vAlign w:val="center"/>
          </w:tcPr>
          <w:p>
            <w:pPr>
              <w:spacing w:before="0" w:after="0" w:line="0" w:lineRule="atLeast"/>
              <w:jc w:val="center"/>
              <w:rPr>
                <w:rFonts w:hint="eastAsia" w:ascii="华文仿宋" w:hAnsi="华文仿宋" w:eastAsia="华文仿宋" w:cs="华文仿宋"/>
                <w:b/>
                <w:bCs/>
                <w:sz w:val="24"/>
                <w:szCs w:val="24"/>
                <w14:ligatures w14:val="standardContextual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4"/>
                <w:szCs w:val="24"/>
                <w14:ligatures w14:val="standardContextual"/>
              </w:rPr>
              <w:t>砍伐（株）</w:t>
            </w:r>
          </w:p>
        </w:tc>
        <w:tc>
          <w:tcPr>
            <w:tcW w:w="1270" w:type="dxa"/>
            <w:shd w:val="clear" w:color="auto" w:fill="BEBEBE"/>
            <w:vAlign w:val="center"/>
          </w:tcPr>
          <w:p>
            <w:pPr>
              <w:spacing w:before="0" w:after="0" w:line="0" w:lineRule="atLeast"/>
              <w:jc w:val="center"/>
              <w:rPr>
                <w:rFonts w:hint="eastAsia" w:ascii="华文仿宋" w:hAnsi="华文仿宋" w:eastAsia="华文仿宋" w:cs="华文仿宋"/>
                <w:b/>
                <w:bCs/>
                <w:sz w:val="24"/>
                <w:szCs w:val="24"/>
                <w14:ligatures w14:val="standardContextual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4"/>
                <w:szCs w:val="24"/>
                <w14:ligatures w14:val="standardContextual"/>
              </w:rPr>
              <w:t>小计（株）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  <w:jc w:val="center"/>
        </w:trPr>
        <w:tc>
          <w:tcPr>
            <w:tcW w:w="772" w:type="dxa"/>
            <w:vAlign w:val="center"/>
          </w:tcPr>
          <w:p>
            <w:pPr>
              <w:spacing w:before="0" w:after="0" w:line="0" w:lineRule="atLeast"/>
              <w:jc w:val="center"/>
              <w:rPr>
                <w:rFonts w:hint="eastAsia" w:ascii="华文仿宋" w:hAnsi="华文仿宋" w:eastAsia="华文仿宋" w:cs="华文仿宋"/>
                <w:sz w:val="24"/>
                <w:szCs w:val="24"/>
                <w14:ligatures w14:val="standardContextual"/>
              </w:rPr>
            </w:pPr>
            <w:r>
              <w:rPr>
                <w:rFonts w:hint="eastAsia" w:ascii="华文仿宋" w:hAnsi="华文仿宋" w:eastAsia="华文仿宋" w:cs="华文仿宋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0" w:line="0" w:lineRule="atLeast"/>
              <w:jc w:val="center"/>
              <w:rPr>
                <w:rFonts w:hint="eastAsia" w:ascii="华文仿宋" w:hAnsi="华文仿宋" w:eastAsia="华文仿宋" w:cs="华文仿宋"/>
                <w:sz w:val="24"/>
                <w:szCs w:val="24"/>
                <w14:ligatures w14:val="standardContextual"/>
              </w:rPr>
            </w:pPr>
            <w:r>
              <w:rPr>
                <w:rFonts w:hint="eastAsia" w:ascii="华文仿宋" w:hAnsi="华文仿宋" w:eastAsia="华文仿宋" w:cs="华文仿宋"/>
                <w:sz w:val="24"/>
                <w:szCs w:val="24"/>
                <w14:ligatures w14:val="standardContextual"/>
              </w:rPr>
              <w:t>古树后续资源</w:t>
            </w:r>
          </w:p>
        </w:tc>
        <w:tc>
          <w:tcPr>
            <w:tcW w:w="1900" w:type="dxa"/>
            <w:shd w:val="clear" w:color="auto" w:fill="auto"/>
            <w:vAlign w:val="center"/>
          </w:tcPr>
          <w:p>
            <w:pPr>
              <w:spacing w:before="0" w:after="0" w:line="0" w:lineRule="atLeast"/>
              <w:jc w:val="center"/>
              <w:rPr>
                <w:rFonts w:hint="eastAsia" w:ascii="华文仿宋" w:hAnsi="华文仿宋" w:eastAsia="华文仿宋" w:cs="华文仿宋"/>
                <w:sz w:val="24"/>
                <w:szCs w:val="24"/>
                <w14:ligatures w14:val="standardContextual"/>
              </w:rPr>
            </w:pPr>
            <w:r>
              <w:rPr>
                <w:rFonts w:hint="eastAsia" w:ascii="华文仿宋" w:hAnsi="华文仿宋" w:eastAsia="华文仿宋" w:cs="华文仿宋"/>
                <w:sz w:val="24"/>
                <w:szCs w:val="24"/>
                <w14:ligatures w14:val="standardContextual"/>
              </w:rPr>
              <w:t>28</w:t>
            </w:r>
          </w:p>
        </w:tc>
        <w:tc>
          <w:tcPr>
            <w:tcW w:w="1762" w:type="dxa"/>
            <w:shd w:val="clear" w:color="auto" w:fill="auto"/>
            <w:vAlign w:val="center"/>
          </w:tcPr>
          <w:p>
            <w:pPr>
              <w:spacing w:before="0" w:after="0" w:line="0" w:lineRule="atLeast"/>
              <w:jc w:val="center"/>
              <w:rPr>
                <w:rFonts w:hint="eastAsia" w:ascii="华文仿宋" w:hAnsi="华文仿宋" w:eastAsia="华文仿宋" w:cs="华文仿宋"/>
                <w:sz w:val="24"/>
                <w:szCs w:val="24"/>
                <w14:ligatures w14:val="standardContextual"/>
              </w:rPr>
            </w:pPr>
            <w:r>
              <w:rPr>
                <w:rFonts w:hint="eastAsia" w:ascii="华文仿宋" w:hAnsi="华文仿宋" w:eastAsia="华文仿宋" w:cs="华文仿宋"/>
                <w:sz w:val="24"/>
                <w:szCs w:val="24"/>
                <w14:ligatures w14:val="standardContextual"/>
              </w:rPr>
              <w:t>0</w:t>
            </w:r>
          </w:p>
        </w:tc>
        <w:tc>
          <w:tcPr>
            <w:tcW w:w="1270" w:type="dxa"/>
            <w:shd w:val="clear" w:color="auto" w:fill="auto"/>
            <w:vAlign w:val="center"/>
          </w:tcPr>
          <w:p>
            <w:pPr>
              <w:spacing w:before="0" w:after="0" w:line="0" w:lineRule="atLeast"/>
              <w:jc w:val="center"/>
              <w:rPr>
                <w:rFonts w:hint="eastAsia" w:ascii="华文仿宋" w:hAnsi="华文仿宋" w:eastAsia="华文仿宋" w:cs="华文仿宋"/>
                <w:sz w:val="24"/>
                <w:szCs w:val="24"/>
                <w14:ligatures w14:val="standardContextual"/>
              </w:rPr>
            </w:pPr>
            <w:r>
              <w:rPr>
                <w:rFonts w:hint="eastAsia" w:ascii="华文仿宋" w:hAnsi="华文仿宋" w:eastAsia="华文仿宋" w:cs="华文仿宋"/>
                <w:sz w:val="24"/>
                <w:szCs w:val="24"/>
                <w14:ligatures w14:val="standardContextual"/>
              </w:rPr>
              <w:t>0</w:t>
            </w:r>
          </w:p>
        </w:tc>
        <w:tc>
          <w:tcPr>
            <w:tcW w:w="1270" w:type="dxa"/>
            <w:shd w:val="clear" w:color="auto" w:fill="auto"/>
            <w:vAlign w:val="center"/>
          </w:tcPr>
          <w:p>
            <w:pPr>
              <w:spacing w:before="0" w:after="0" w:line="0" w:lineRule="atLeast"/>
              <w:jc w:val="center"/>
              <w:rPr>
                <w:rFonts w:hint="eastAsia" w:ascii="华文仿宋" w:hAnsi="华文仿宋" w:eastAsia="华文仿宋" w:cs="华文仿宋"/>
                <w:b/>
                <w:bCs/>
                <w:sz w:val="24"/>
                <w:szCs w:val="24"/>
                <w14:ligatures w14:val="standardContextual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4"/>
                <w:szCs w:val="24"/>
                <w14:ligatures w14:val="standardContextual"/>
              </w:rPr>
              <w:t>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772" w:type="dxa"/>
            <w:vAlign w:val="center"/>
          </w:tcPr>
          <w:p>
            <w:pPr>
              <w:spacing w:before="0" w:after="0" w:line="0" w:lineRule="atLeast"/>
              <w:jc w:val="center"/>
              <w:rPr>
                <w:rFonts w:hint="eastAsia" w:ascii="华文仿宋" w:hAnsi="华文仿宋" w:eastAsia="华文仿宋" w:cs="华文仿宋"/>
                <w:sz w:val="24"/>
                <w:szCs w:val="24"/>
                <w14:ligatures w14:val="standardContextual"/>
              </w:rPr>
            </w:pPr>
            <w:r>
              <w:rPr>
                <w:rFonts w:hint="eastAsia" w:ascii="华文仿宋" w:hAnsi="华文仿宋" w:eastAsia="华文仿宋" w:cs="华文仿宋"/>
                <w:sz w:val="24"/>
                <w:szCs w:val="24"/>
                <w14:ligatures w14:val="standardContextual"/>
              </w:rPr>
              <w:t>2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0" w:line="0" w:lineRule="atLeast"/>
              <w:jc w:val="center"/>
              <w:rPr>
                <w:rFonts w:hint="eastAsia" w:ascii="华文仿宋" w:hAnsi="华文仿宋" w:eastAsia="华文仿宋" w:cs="华文仿宋"/>
                <w:sz w:val="24"/>
                <w:szCs w:val="24"/>
                <w14:ligatures w14:val="standardContextual"/>
              </w:rPr>
            </w:pPr>
            <w:r>
              <w:rPr>
                <w:rFonts w:hint="eastAsia" w:ascii="华文仿宋" w:hAnsi="华文仿宋" w:eastAsia="华文仿宋" w:cs="华文仿宋"/>
                <w:sz w:val="24"/>
                <w:szCs w:val="24"/>
                <w14:ligatures w14:val="standardContextual"/>
              </w:rPr>
              <w:t>大树</w:t>
            </w:r>
          </w:p>
        </w:tc>
        <w:tc>
          <w:tcPr>
            <w:tcW w:w="1900" w:type="dxa"/>
            <w:shd w:val="clear" w:color="auto" w:fill="auto"/>
            <w:vAlign w:val="center"/>
          </w:tcPr>
          <w:p>
            <w:pPr>
              <w:spacing w:before="0" w:after="0" w:line="0" w:lineRule="atLeast"/>
              <w:jc w:val="center"/>
              <w:rPr>
                <w:rFonts w:hint="eastAsia" w:ascii="华文仿宋" w:hAnsi="华文仿宋" w:eastAsia="华文仿宋" w:cs="华文仿宋"/>
                <w:sz w:val="24"/>
                <w:szCs w:val="24"/>
                <w14:ligatures w14:val="standardContextual"/>
              </w:rPr>
            </w:pPr>
            <w:r>
              <w:rPr>
                <w:rFonts w:hint="eastAsia" w:ascii="华文仿宋" w:hAnsi="华文仿宋" w:eastAsia="华文仿宋" w:cs="华文仿宋"/>
                <w:sz w:val="24"/>
                <w:szCs w:val="24"/>
                <w14:ligatures w14:val="standardContextual"/>
              </w:rPr>
              <w:t>1309</w:t>
            </w:r>
          </w:p>
        </w:tc>
        <w:tc>
          <w:tcPr>
            <w:tcW w:w="1762" w:type="dxa"/>
            <w:shd w:val="clear" w:color="auto" w:fill="auto"/>
            <w:vAlign w:val="center"/>
          </w:tcPr>
          <w:p>
            <w:pPr>
              <w:spacing w:before="0" w:after="0" w:line="0" w:lineRule="atLeast"/>
              <w:jc w:val="center"/>
              <w:rPr>
                <w:rFonts w:hint="eastAsia" w:ascii="华文仿宋" w:hAnsi="华文仿宋" w:eastAsia="华文仿宋" w:cs="华文仿宋"/>
                <w:sz w:val="24"/>
                <w:szCs w:val="24"/>
                <w14:ligatures w14:val="standardContextual"/>
              </w:rPr>
            </w:pPr>
            <w:r>
              <w:rPr>
                <w:rFonts w:hint="eastAsia" w:ascii="华文仿宋" w:hAnsi="华文仿宋" w:eastAsia="华文仿宋" w:cs="华文仿宋"/>
                <w:sz w:val="24"/>
                <w:szCs w:val="24"/>
                <w14:ligatures w14:val="standardContextual"/>
              </w:rPr>
              <w:t>0</w:t>
            </w:r>
          </w:p>
        </w:tc>
        <w:tc>
          <w:tcPr>
            <w:tcW w:w="1270" w:type="dxa"/>
            <w:shd w:val="clear" w:color="auto" w:fill="auto"/>
            <w:vAlign w:val="center"/>
          </w:tcPr>
          <w:p>
            <w:pPr>
              <w:spacing w:before="0" w:after="0" w:line="0" w:lineRule="atLeast"/>
              <w:jc w:val="center"/>
              <w:rPr>
                <w:rFonts w:hint="eastAsia" w:ascii="华文仿宋" w:hAnsi="华文仿宋" w:eastAsia="华文仿宋" w:cs="华文仿宋"/>
                <w:sz w:val="24"/>
                <w:szCs w:val="24"/>
                <w14:ligatures w14:val="standardContextual"/>
              </w:rPr>
            </w:pPr>
            <w:r>
              <w:rPr>
                <w:rFonts w:hint="eastAsia" w:ascii="华文仿宋" w:hAnsi="华文仿宋" w:eastAsia="华文仿宋" w:cs="华文仿宋"/>
                <w:sz w:val="24"/>
                <w:szCs w:val="24"/>
                <w14:ligatures w14:val="standardContextual"/>
              </w:rPr>
              <w:t>0</w:t>
            </w:r>
          </w:p>
        </w:tc>
        <w:tc>
          <w:tcPr>
            <w:tcW w:w="1270" w:type="dxa"/>
            <w:shd w:val="clear" w:color="auto" w:fill="auto"/>
            <w:vAlign w:val="center"/>
          </w:tcPr>
          <w:p>
            <w:pPr>
              <w:spacing w:before="0" w:after="0" w:line="0" w:lineRule="atLeast"/>
              <w:jc w:val="center"/>
              <w:rPr>
                <w:rFonts w:hint="eastAsia" w:ascii="华文仿宋" w:hAnsi="华文仿宋" w:eastAsia="华文仿宋" w:cs="华文仿宋"/>
                <w:b/>
                <w:bCs/>
                <w:sz w:val="24"/>
                <w:szCs w:val="24"/>
                <w14:ligatures w14:val="standardContextual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4"/>
                <w:szCs w:val="24"/>
                <w14:ligatures w14:val="standardContextual"/>
              </w:rPr>
              <w:t>1309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91" w:hRule="atLeast"/>
          <w:jc w:val="center"/>
        </w:trPr>
        <w:tc>
          <w:tcPr>
            <w:tcW w:w="772" w:type="dxa"/>
            <w:vAlign w:val="center"/>
          </w:tcPr>
          <w:p>
            <w:pPr>
              <w:spacing w:before="0" w:after="0" w:line="0" w:lineRule="atLeast"/>
              <w:jc w:val="center"/>
              <w:rPr>
                <w:rFonts w:hint="eastAsia" w:ascii="华文仿宋" w:hAnsi="华文仿宋" w:eastAsia="华文仿宋" w:cs="华文仿宋"/>
                <w:sz w:val="24"/>
                <w:szCs w:val="24"/>
                <w14:ligatures w14:val="standardContextual"/>
              </w:rPr>
            </w:pPr>
            <w:r>
              <w:rPr>
                <w:rFonts w:hint="eastAsia" w:ascii="华文仿宋" w:hAnsi="华文仿宋" w:eastAsia="华文仿宋" w:cs="华文仿宋"/>
                <w:sz w:val="24"/>
                <w:szCs w:val="24"/>
                <w14:ligatures w14:val="standardContextual"/>
              </w:rPr>
              <w:t>2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0" w:line="0" w:lineRule="atLeast"/>
              <w:jc w:val="center"/>
              <w:rPr>
                <w:rFonts w:hint="eastAsia" w:ascii="华文仿宋" w:hAnsi="华文仿宋" w:eastAsia="华文仿宋" w:cs="华文仿宋"/>
                <w:sz w:val="24"/>
                <w:szCs w:val="24"/>
                <w14:ligatures w14:val="standardContextual"/>
              </w:rPr>
            </w:pPr>
            <w:r>
              <w:rPr>
                <w:rFonts w:hint="eastAsia" w:ascii="华文仿宋" w:hAnsi="华文仿宋" w:eastAsia="华文仿宋" w:cs="华文仿宋"/>
                <w:sz w:val="24"/>
                <w:szCs w:val="24"/>
                <w14:ligatures w14:val="standardContextual"/>
              </w:rPr>
              <w:t>其他树木</w:t>
            </w:r>
          </w:p>
        </w:tc>
        <w:tc>
          <w:tcPr>
            <w:tcW w:w="1900" w:type="dxa"/>
            <w:shd w:val="clear" w:color="auto" w:fill="auto"/>
            <w:vAlign w:val="center"/>
          </w:tcPr>
          <w:p>
            <w:pPr>
              <w:spacing w:before="0" w:after="0" w:line="0" w:lineRule="atLeast"/>
              <w:jc w:val="center"/>
              <w:rPr>
                <w:rFonts w:hint="eastAsia" w:ascii="华文仿宋" w:hAnsi="华文仿宋" w:eastAsia="华文仿宋" w:cs="华文仿宋"/>
                <w:sz w:val="24"/>
                <w:szCs w:val="24"/>
                <w14:ligatures w14:val="standardContextual"/>
              </w:rPr>
            </w:pPr>
            <w:r>
              <w:rPr>
                <w:rFonts w:hint="eastAsia" w:ascii="华文仿宋" w:hAnsi="华文仿宋" w:eastAsia="华文仿宋" w:cs="华文仿宋"/>
                <w:sz w:val="24"/>
                <w:szCs w:val="24"/>
                <w14:ligatures w14:val="standardContextual"/>
              </w:rPr>
              <w:t>373</w:t>
            </w:r>
          </w:p>
        </w:tc>
        <w:tc>
          <w:tcPr>
            <w:tcW w:w="1762" w:type="dxa"/>
            <w:shd w:val="clear" w:color="auto" w:fill="auto"/>
            <w:vAlign w:val="center"/>
          </w:tcPr>
          <w:p>
            <w:pPr>
              <w:spacing w:before="0" w:after="0" w:line="0" w:lineRule="atLeast"/>
              <w:jc w:val="center"/>
              <w:rPr>
                <w:rFonts w:hint="eastAsia" w:ascii="华文仿宋" w:hAnsi="华文仿宋" w:eastAsia="华文仿宋" w:cs="华文仿宋"/>
                <w:sz w:val="24"/>
                <w:szCs w:val="24"/>
                <w14:ligatures w14:val="standardContextual"/>
              </w:rPr>
            </w:pPr>
            <w:r>
              <w:rPr>
                <w:rFonts w:hint="eastAsia" w:ascii="华文仿宋" w:hAnsi="华文仿宋" w:eastAsia="华文仿宋" w:cs="华文仿宋"/>
                <w:sz w:val="24"/>
                <w:szCs w:val="24"/>
                <w14:ligatures w14:val="standardContextual"/>
              </w:rPr>
              <w:t>10</w:t>
            </w:r>
          </w:p>
        </w:tc>
        <w:tc>
          <w:tcPr>
            <w:tcW w:w="1270" w:type="dxa"/>
            <w:shd w:val="clear" w:color="auto" w:fill="auto"/>
            <w:vAlign w:val="center"/>
          </w:tcPr>
          <w:p>
            <w:pPr>
              <w:spacing w:before="0" w:after="0" w:line="0" w:lineRule="atLeast"/>
              <w:jc w:val="center"/>
              <w:rPr>
                <w:rFonts w:hint="eastAsia" w:ascii="华文仿宋" w:hAnsi="华文仿宋" w:eastAsia="华文仿宋" w:cs="华文仿宋"/>
                <w:sz w:val="24"/>
                <w:szCs w:val="24"/>
                <w14:ligatures w14:val="standardContextual"/>
              </w:rPr>
            </w:pPr>
            <w:r>
              <w:rPr>
                <w:rFonts w:hint="eastAsia" w:ascii="华文仿宋" w:hAnsi="华文仿宋" w:eastAsia="华文仿宋" w:cs="华文仿宋"/>
                <w:sz w:val="24"/>
                <w:szCs w:val="24"/>
                <w14:ligatures w14:val="standardContextual"/>
              </w:rPr>
              <w:t>0</w:t>
            </w:r>
          </w:p>
        </w:tc>
        <w:tc>
          <w:tcPr>
            <w:tcW w:w="1270" w:type="dxa"/>
            <w:shd w:val="clear" w:color="auto" w:fill="auto"/>
            <w:vAlign w:val="center"/>
          </w:tcPr>
          <w:p>
            <w:pPr>
              <w:spacing w:before="0" w:after="0" w:line="0" w:lineRule="atLeast"/>
              <w:jc w:val="center"/>
              <w:rPr>
                <w:rFonts w:hint="eastAsia" w:ascii="华文仿宋" w:hAnsi="华文仿宋" w:eastAsia="华文仿宋" w:cs="华文仿宋"/>
                <w:b/>
                <w:bCs/>
                <w:sz w:val="24"/>
                <w:szCs w:val="24"/>
                <w14:ligatures w14:val="standardContextual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4"/>
                <w:szCs w:val="24"/>
                <w14:ligatures w14:val="standardContextual"/>
              </w:rPr>
              <w:t>383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1972" w:type="dxa"/>
            <w:gridSpan w:val="2"/>
            <w:vAlign w:val="center"/>
          </w:tcPr>
          <w:p>
            <w:pPr>
              <w:spacing w:before="0" w:after="0" w:line="0" w:lineRule="atLeast"/>
              <w:jc w:val="center"/>
              <w:rPr>
                <w:rFonts w:hint="eastAsia" w:ascii="华文仿宋" w:hAnsi="华文仿宋" w:eastAsia="华文仿宋" w:cs="华文仿宋"/>
                <w:b/>
                <w:bCs/>
                <w:sz w:val="24"/>
                <w:szCs w:val="24"/>
                <w14:ligatures w14:val="standardContextual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4"/>
                <w:szCs w:val="24"/>
                <w14:ligatures w14:val="standardContextual"/>
              </w:rPr>
              <w:t>小计</w:t>
            </w:r>
          </w:p>
        </w:tc>
        <w:tc>
          <w:tcPr>
            <w:tcW w:w="1900" w:type="dxa"/>
            <w:shd w:val="clear" w:color="auto" w:fill="auto"/>
            <w:vAlign w:val="center"/>
          </w:tcPr>
          <w:p>
            <w:pPr>
              <w:spacing w:before="0" w:after="0" w:line="0" w:lineRule="atLeast"/>
              <w:jc w:val="center"/>
              <w:rPr>
                <w:rFonts w:hint="eastAsia" w:ascii="华文仿宋" w:hAnsi="华文仿宋" w:eastAsia="华文仿宋" w:cs="华文仿宋"/>
                <w:b/>
                <w:bCs/>
                <w:sz w:val="24"/>
                <w:szCs w:val="24"/>
                <w14:ligatures w14:val="standardContextual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4"/>
                <w:szCs w:val="24"/>
                <w14:ligatures w14:val="standardContextual"/>
              </w:rPr>
              <w:t>1710</w:t>
            </w:r>
          </w:p>
        </w:tc>
        <w:tc>
          <w:tcPr>
            <w:tcW w:w="1762" w:type="dxa"/>
            <w:shd w:val="clear" w:color="auto" w:fill="auto"/>
            <w:vAlign w:val="center"/>
          </w:tcPr>
          <w:p>
            <w:pPr>
              <w:spacing w:before="0" w:after="0" w:line="0" w:lineRule="atLeast"/>
              <w:jc w:val="center"/>
              <w:rPr>
                <w:rFonts w:hint="eastAsia" w:ascii="华文仿宋" w:hAnsi="华文仿宋" w:eastAsia="华文仿宋" w:cs="华文仿宋"/>
                <w:b/>
                <w:bCs/>
                <w:sz w:val="24"/>
                <w:szCs w:val="24"/>
                <w14:ligatures w14:val="standardContextual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4"/>
                <w:szCs w:val="24"/>
                <w14:ligatures w14:val="standardContextual"/>
              </w:rPr>
              <w:t>10</w:t>
            </w:r>
          </w:p>
        </w:tc>
        <w:tc>
          <w:tcPr>
            <w:tcW w:w="1270" w:type="dxa"/>
            <w:shd w:val="clear" w:color="auto" w:fill="auto"/>
            <w:vAlign w:val="center"/>
          </w:tcPr>
          <w:p>
            <w:pPr>
              <w:spacing w:before="0" w:after="0" w:line="0" w:lineRule="atLeast"/>
              <w:jc w:val="center"/>
              <w:rPr>
                <w:rFonts w:hint="eastAsia" w:ascii="华文仿宋" w:hAnsi="华文仿宋" w:eastAsia="华文仿宋" w:cs="华文仿宋"/>
                <w:b/>
                <w:bCs/>
                <w:sz w:val="24"/>
                <w:szCs w:val="24"/>
                <w14:ligatures w14:val="standardContextual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4"/>
                <w:szCs w:val="24"/>
                <w14:ligatures w14:val="standardContextual"/>
              </w:rPr>
              <w:t>0</w:t>
            </w:r>
          </w:p>
        </w:tc>
        <w:tc>
          <w:tcPr>
            <w:tcW w:w="1270" w:type="dxa"/>
            <w:shd w:val="clear" w:color="auto" w:fill="auto"/>
            <w:vAlign w:val="center"/>
          </w:tcPr>
          <w:p>
            <w:pPr>
              <w:spacing w:before="0" w:after="0" w:line="0" w:lineRule="atLeast"/>
              <w:jc w:val="center"/>
              <w:rPr>
                <w:rFonts w:hint="eastAsia" w:ascii="华文仿宋" w:hAnsi="华文仿宋" w:eastAsia="华文仿宋" w:cs="华文仿宋"/>
                <w:b/>
                <w:bCs/>
                <w:sz w:val="24"/>
                <w:szCs w:val="24"/>
                <w14:ligatures w14:val="standardContextual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4"/>
                <w:szCs w:val="24"/>
                <w14:ligatures w14:val="standardContextual"/>
              </w:rPr>
              <w:t>1720</w:t>
            </w:r>
          </w:p>
        </w:tc>
      </w:tr>
    </w:tbl>
    <w:p>
      <w:pPr>
        <w:pStyle w:val="32"/>
        <w:spacing w:before="0" w:beforeAutospacing="0" w:after="0" w:afterAutospacing="0" w:line="360" w:lineRule="auto"/>
        <w:jc w:val="both"/>
        <w:rPr>
          <w:rFonts w:hint="eastAsia" w:ascii="宋体" w:hAnsi="宋体" w:eastAsia="宋体" w:cs="Times New Roman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  <w14:ligatures w14:val="standardContextual"/>
        </w:rPr>
      </w:pPr>
    </w:p>
    <w:p>
      <w:pPr>
        <w:pStyle w:val="32"/>
        <w:spacing w:before="0" w:beforeAutospacing="0" w:after="0" w:afterAutospacing="0" w:line="360" w:lineRule="auto"/>
        <w:jc w:val="both"/>
        <w:rPr>
          <w:rFonts w:ascii="宋体" w:hAnsi="宋体" w:eastAsia="宋体" w:cs="Times New Roman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  <w14:ligatures w14:val="standardContextual"/>
        </w:rPr>
      </w:pPr>
      <w:r>
        <w:rPr>
          <w:rFonts w:hint="eastAsia" w:ascii="宋体" w:hAnsi="宋体" w:eastAsia="宋体" w:cs="Times New Roman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  <w14:ligatures w14:val="standardContextual"/>
        </w:rPr>
        <w:t>4.1.</w:t>
      </w:r>
      <w:r>
        <w:rPr>
          <w:rFonts w:ascii="宋体" w:hAnsi="宋体" w:eastAsia="宋体" w:cs="Times New Roman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  <w14:ligatures w14:val="standardContextual"/>
        </w:rPr>
        <w:t>原址保护</w:t>
      </w:r>
    </w:p>
    <w:p>
      <w:pPr>
        <w:ind w:firstLine="480"/>
        <w:rPr>
          <w:rFonts w:hint="eastAsia"/>
        </w:rPr>
      </w:pPr>
      <w:r>
        <w:rPr>
          <w:rFonts w:ascii="Times New Roman" w:hAnsi="Times New Roman" w:eastAsia="宋体" w:cs="Times New Roman"/>
          <w:sz w:val="24"/>
          <w:szCs w:val="24"/>
          <w14:ligatures w14:val="standardContextual"/>
        </w:rPr>
        <w:t>拟将项目调查范围内1710株树木（古树后续资源28株、大树1309株、其他树木373株）进行原址保护。</w:t>
      </w:r>
      <w:bookmarkStart w:id="16" w:name="_Toc181187984"/>
    </w:p>
    <w:p>
      <w:pPr>
        <w:pStyle w:val="32"/>
        <w:spacing w:before="0" w:beforeAutospacing="0" w:after="0" w:afterAutospacing="0" w:line="360" w:lineRule="auto"/>
        <w:jc w:val="both"/>
        <w:rPr>
          <w:rFonts w:ascii="宋体" w:hAnsi="宋体" w:eastAsia="宋体" w:cs="Times New Roman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  <w14:ligatures w14:val="standardContextual"/>
        </w:rPr>
      </w:pPr>
      <w:r>
        <w:rPr>
          <w:rFonts w:hint="eastAsia" w:ascii="宋体" w:hAnsi="宋体" w:eastAsia="宋体" w:cs="Times New Roman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  <w14:ligatures w14:val="standardContextual"/>
        </w:rPr>
        <w:t>4.2</w:t>
      </w:r>
      <w:r>
        <w:rPr>
          <w:rFonts w:ascii="宋体" w:hAnsi="宋体" w:eastAsia="宋体" w:cs="Times New Roman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  <w14:ligatures w14:val="standardContextual"/>
        </w:rPr>
        <w:t>迁移利用</w:t>
      </w:r>
      <w:bookmarkEnd w:id="16"/>
    </w:p>
    <w:p>
      <w:pPr>
        <w:ind w:firstLine="480"/>
        <w:rPr>
          <w:rFonts w:ascii="Times New Roman" w:hAnsi="Times New Roman" w:eastAsia="宋体" w:cs="Times New Roman"/>
          <w:sz w:val="24"/>
          <w:szCs w:val="24"/>
          <w14:ligatures w14:val="standardContextual"/>
        </w:rPr>
      </w:pPr>
      <w:r>
        <w:rPr>
          <w:rFonts w:ascii="Times New Roman" w:hAnsi="Times New Roman" w:eastAsia="宋体" w:cs="Times New Roman"/>
          <w:sz w:val="24"/>
          <w:szCs w:val="24"/>
          <w14:ligatures w14:val="standardContextual"/>
        </w:rPr>
        <w:t>拟将项目调查范围内的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>10株树木（均为其他树木）</w:t>
      </w:r>
      <w:r>
        <w:rPr>
          <w:rFonts w:ascii="Times New Roman" w:hAnsi="Times New Roman" w:eastAsia="宋体" w:cs="Times New Roman"/>
          <w:sz w:val="24"/>
          <w:szCs w:val="24"/>
          <w14:ligatures w14:val="standardContextual"/>
        </w:rPr>
        <w:t>进行迁移利用。</w:t>
      </w:r>
      <w:r>
        <w:rPr>
          <w:rFonts w:hint="eastAsia" w:ascii="Times New Roman" w:hAnsi="Times New Roman" w:eastAsia="宋体" w:cs="Times New Roman"/>
          <w:sz w:val="24"/>
          <w:szCs w:val="24"/>
          <w14:ligatures w14:val="standardContextual"/>
        </w:rPr>
        <w:t>后续按程序办理树木迁移手续。</w:t>
      </w:r>
    </w:p>
    <w:p>
      <w:pPr>
        <w:jc w:val="center"/>
        <w:rPr>
          <w:rFonts w:ascii="Times New Roman" w:hAnsi="Times New Roman" w:eastAsia="宋体" w:cs="Times New Roman"/>
          <w:sz w:val="24"/>
          <w:szCs w:val="24"/>
          <w14:ligatures w14:val="standardContextual"/>
        </w:rPr>
      </w:pPr>
      <w:r>
        <w:rPr>
          <w:rFonts w:ascii="Times New Roman" w:hAnsi="Times New Roman" w:eastAsia="宋体" w:cs="Times New Roman"/>
          <w:sz w:val="24"/>
          <w:szCs w:val="24"/>
          <w14:ligatures w14:val="standardContextual"/>
        </w:rPr>
        <w:t>拟迁移利用树木清单表</w:t>
      </w:r>
    </w:p>
    <w:tbl>
      <w:tblPr>
        <w:tblStyle w:val="21"/>
        <w:tblW w:w="722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5"/>
        <w:gridCol w:w="1441"/>
        <w:gridCol w:w="1743"/>
        <w:gridCol w:w="2182"/>
        <w:gridCol w:w="9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tblHeader/>
          <w:jc w:val="center"/>
        </w:trPr>
        <w:tc>
          <w:tcPr>
            <w:tcW w:w="905" w:type="dxa"/>
            <w:shd w:val="clear" w:color="auto" w:fill="D7D7D7"/>
            <w:vAlign w:val="center"/>
          </w:tcPr>
          <w:p>
            <w:pPr>
              <w:spacing w:line="240" w:lineRule="auto"/>
              <w:jc w:val="center"/>
              <w:rPr>
                <w:rFonts w:hint="eastAsia" w:ascii="华文仿宋" w:hAnsi="华文仿宋" w:eastAsia="华文仿宋" w:cs="华文仿宋"/>
                <w:b/>
                <w:bCs/>
                <w:sz w:val="24"/>
                <w:szCs w:val="24"/>
                <w14:ligatures w14:val="standardContextual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4"/>
                <w:szCs w:val="24"/>
                <w14:ligatures w14:val="standardContextual"/>
              </w:rPr>
              <w:t>序号</w:t>
            </w:r>
          </w:p>
        </w:tc>
        <w:tc>
          <w:tcPr>
            <w:tcW w:w="1441" w:type="dxa"/>
            <w:shd w:val="clear" w:color="auto" w:fill="D7D7D7"/>
            <w:vAlign w:val="center"/>
          </w:tcPr>
          <w:p>
            <w:pPr>
              <w:spacing w:line="240" w:lineRule="auto"/>
              <w:jc w:val="center"/>
              <w:rPr>
                <w:rFonts w:hint="eastAsia" w:ascii="华文仿宋" w:hAnsi="华文仿宋" w:eastAsia="华文仿宋" w:cs="华文仿宋"/>
                <w:b/>
                <w:bCs/>
                <w:sz w:val="24"/>
                <w:szCs w:val="24"/>
                <w14:ligatures w14:val="standardContextual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4"/>
                <w:szCs w:val="24"/>
                <w14:ligatures w14:val="standardContextual"/>
              </w:rPr>
              <w:t>保护类型</w:t>
            </w:r>
          </w:p>
        </w:tc>
        <w:tc>
          <w:tcPr>
            <w:tcW w:w="1743" w:type="dxa"/>
            <w:shd w:val="clear" w:color="auto" w:fill="D7D7D7"/>
            <w:vAlign w:val="center"/>
          </w:tcPr>
          <w:p>
            <w:pPr>
              <w:spacing w:line="240" w:lineRule="auto"/>
              <w:jc w:val="center"/>
              <w:rPr>
                <w:rFonts w:hint="eastAsia" w:ascii="华文仿宋" w:hAnsi="华文仿宋" w:eastAsia="华文仿宋" w:cs="华文仿宋"/>
                <w:b/>
                <w:bCs/>
                <w:sz w:val="24"/>
                <w:szCs w:val="24"/>
                <w14:ligatures w14:val="standardContextual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4"/>
                <w:szCs w:val="24"/>
                <w14:ligatures w14:val="standardContextual"/>
              </w:rPr>
              <w:t>树种</w:t>
            </w:r>
          </w:p>
        </w:tc>
        <w:tc>
          <w:tcPr>
            <w:tcW w:w="2182" w:type="dxa"/>
            <w:shd w:val="clear" w:color="auto" w:fill="D7D7D7"/>
            <w:vAlign w:val="center"/>
          </w:tcPr>
          <w:p>
            <w:pPr>
              <w:spacing w:line="240" w:lineRule="auto"/>
              <w:jc w:val="center"/>
              <w:rPr>
                <w:rFonts w:hint="eastAsia" w:ascii="华文仿宋" w:hAnsi="华文仿宋" w:eastAsia="华文仿宋" w:cs="华文仿宋"/>
                <w:b/>
                <w:bCs/>
                <w:sz w:val="24"/>
                <w:szCs w:val="24"/>
                <w14:ligatures w14:val="standardContextual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4"/>
                <w:szCs w:val="24"/>
                <w14:ligatures w14:val="standardContextual"/>
              </w:rPr>
              <w:t>胸径（cm)</w:t>
            </w:r>
          </w:p>
        </w:tc>
        <w:tc>
          <w:tcPr>
            <w:tcW w:w="953" w:type="dxa"/>
            <w:shd w:val="clear" w:color="auto" w:fill="D7D7D7"/>
            <w:vAlign w:val="center"/>
          </w:tcPr>
          <w:p>
            <w:pPr>
              <w:spacing w:line="240" w:lineRule="auto"/>
              <w:jc w:val="center"/>
              <w:rPr>
                <w:rFonts w:hint="eastAsia" w:ascii="华文仿宋" w:hAnsi="华文仿宋" w:eastAsia="华文仿宋" w:cs="华文仿宋"/>
                <w:b/>
                <w:bCs/>
                <w:sz w:val="24"/>
                <w:szCs w:val="24"/>
                <w14:ligatures w14:val="standardContextual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4"/>
                <w:szCs w:val="24"/>
                <w14:ligatures w14:val="standardContextual"/>
              </w:rPr>
              <w:t>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905" w:type="dxa"/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hint="eastAsia" w:ascii="华文仿宋" w:hAnsi="华文仿宋" w:eastAsia="华文仿宋" w:cs="华文仿宋"/>
                <w:sz w:val="24"/>
                <w:szCs w:val="24"/>
                <w14:ligatures w14:val="standardContextual"/>
              </w:rPr>
            </w:pPr>
            <w:r>
              <w:rPr>
                <w:rFonts w:hint="eastAsia" w:ascii="华文仿宋" w:hAnsi="华文仿宋" w:eastAsia="华文仿宋" w:cs="华文仿宋"/>
                <w:sz w:val="24"/>
                <w:szCs w:val="24"/>
                <w14:ligatures w14:val="standardContextual"/>
              </w:rPr>
              <w:t>1</w:t>
            </w:r>
          </w:p>
        </w:tc>
        <w:tc>
          <w:tcPr>
            <w:tcW w:w="1441" w:type="dxa"/>
            <w:vMerge w:val="restart"/>
            <w:noWrap/>
            <w:vAlign w:val="center"/>
          </w:tcPr>
          <w:p>
            <w:pPr>
              <w:spacing w:line="240" w:lineRule="auto"/>
              <w:jc w:val="center"/>
              <w:rPr>
                <w:rFonts w:hint="eastAsia" w:ascii="华文仿宋" w:hAnsi="华文仿宋" w:eastAsia="华文仿宋" w:cs="华文仿宋"/>
                <w:sz w:val="24"/>
                <w:szCs w:val="24"/>
                <w14:ligatures w14:val="standardContextual"/>
              </w:rPr>
            </w:pPr>
            <w:r>
              <w:rPr>
                <w:rFonts w:hint="eastAsia" w:ascii="华文仿宋" w:hAnsi="华文仿宋" w:eastAsia="华文仿宋" w:cs="华文仿宋"/>
                <w:sz w:val="24"/>
                <w:szCs w:val="24"/>
                <w14:ligatures w14:val="standardContextual"/>
              </w:rPr>
              <w:t>其他树木</w:t>
            </w:r>
          </w:p>
        </w:tc>
        <w:tc>
          <w:tcPr>
            <w:tcW w:w="1743" w:type="dxa"/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hint="eastAsia" w:ascii="华文仿宋" w:hAnsi="华文仿宋" w:eastAsia="华文仿宋" w:cs="华文仿宋"/>
                <w:sz w:val="24"/>
                <w:szCs w:val="24"/>
                <w14:ligatures w14:val="standardContextual"/>
              </w:rPr>
            </w:pPr>
            <w:r>
              <w:rPr>
                <w:rFonts w:hint="eastAsia" w:ascii="华文仿宋" w:hAnsi="华文仿宋" w:eastAsia="华文仿宋" w:cs="华文仿宋"/>
                <w:sz w:val="24"/>
                <w:szCs w:val="24"/>
                <w14:ligatures w14:val="standardContextual"/>
              </w:rPr>
              <w:t>红花羊蹄甲</w:t>
            </w:r>
          </w:p>
        </w:tc>
        <w:tc>
          <w:tcPr>
            <w:tcW w:w="2182" w:type="dxa"/>
            <w:shd w:val="clear" w:color="auto" w:fill="auto"/>
            <w:vAlign w:val="center"/>
          </w:tcPr>
          <w:p>
            <w:pPr>
              <w:spacing w:line="240" w:lineRule="auto"/>
              <w:jc w:val="center"/>
              <w:rPr>
                <w:rFonts w:hint="eastAsia" w:ascii="华文仿宋" w:hAnsi="华文仿宋" w:eastAsia="华文仿宋" w:cs="华文仿宋"/>
                <w:sz w:val="24"/>
                <w:szCs w:val="24"/>
                <w14:ligatures w14:val="standardContextual"/>
              </w:rPr>
            </w:pPr>
            <w:r>
              <w:rPr>
                <w:rFonts w:hint="eastAsia" w:ascii="华文仿宋" w:hAnsi="华文仿宋" w:eastAsia="华文仿宋" w:cs="华文仿宋"/>
                <w:sz w:val="24"/>
                <w:szCs w:val="24"/>
                <w14:ligatures w14:val="standardContextual"/>
              </w:rPr>
              <w:t>15.6-19.1</w:t>
            </w:r>
          </w:p>
        </w:tc>
        <w:tc>
          <w:tcPr>
            <w:tcW w:w="953" w:type="dxa"/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hint="eastAsia" w:ascii="华文仿宋" w:hAnsi="华文仿宋" w:eastAsia="华文仿宋" w:cs="华文仿宋"/>
                <w:sz w:val="24"/>
                <w:szCs w:val="24"/>
                <w14:ligatures w14:val="standardContextual"/>
              </w:rPr>
            </w:pPr>
            <w:r>
              <w:rPr>
                <w:rFonts w:hint="eastAsia" w:ascii="华文仿宋" w:hAnsi="华文仿宋" w:eastAsia="华文仿宋" w:cs="华文仿宋"/>
                <w:sz w:val="24"/>
                <w:szCs w:val="24"/>
                <w14:ligatures w14:val="standardContextual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905" w:type="dxa"/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hint="eastAsia" w:ascii="华文仿宋" w:hAnsi="华文仿宋" w:eastAsia="华文仿宋" w:cs="华文仿宋"/>
                <w:sz w:val="24"/>
                <w:szCs w:val="24"/>
                <w14:ligatures w14:val="standardContextual"/>
              </w:rPr>
            </w:pPr>
            <w:r>
              <w:rPr>
                <w:rFonts w:hint="eastAsia" w:ascii="华文仿宋" w:hAnsi="华文仿宋" w:eastAsia="华文仿宋" w:cs="华文仿宋"/>
                <w:sz w:val="24"/>
                <w:szCs w:val="24"/>
                <w14:ligatures w14:val="standardContextual"/>
              </w:rPr>
              <w:t>2</w:t>
            </w:r>
          </w:p>
        </w:tc>
        <w:tc>
          <w:tcPr>
            <w:tcW w:w="1441" w:type="dxa"/>
            <w:vMerge w:val="continue"/>
            <w:noWrap/>
            <w:vAlign w:val="center"/>
          </w:tcPr>
          <w:p>
            <w:pPr>
              <w:spacing w:line="240" w:lineRule="auto"/>
              <w:jc w:val="center"/>
              <w:rPr>
                <w:rFonts w:hint="eastAsia" w:ascii="华文仿宋" w:hAnsi="华文仿宋" w:eastAsia="华文仿宋" w:cs="华文仿宋"/>
                <w:sz w:val="24"/>
                <w:szCs w:val="24"/>
                <w14:ligatures w14:val="standardContextual"/>
              </w:rPr>
            </w:pPr>
          </w:p>
        </w:tc>
        <w:tc>
          <w:tcPr>
            <w:tcW w:w="1743" w:type="dxa"/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hint="eastAsia" w:ascii="华文仿宋" w:hAnsi="华文仿宋" w:eastAsia="华文仿宋" w:cs="华文仿宋"/>
                <w:sz w:val="24"/>
                <w:szCs w:val="24"/>
                <w14:ligatures w14:val="standardContextual"/>
              </w:rPr>
            </w:pPr>
            <w:r>
              <w:rPr>
                <w:rFonts w:hint="eastAsia" w:ascii="华文仿宋" w:hAnsi="华文仿宋" w:eastAsia="华文仿宋" w:cs="华文仿宋"/>
                <w:sz w:val="24"/>
                <w:szCs w:val="24"/>
                <w14:ligatures w14:val="standardContextual"/>
              </w:rPr>
              <w:t>羊蹄甲</w:t>
            </w:r>
          </w:p>
        </w:tc>
        <w:tc>
          <w:tcPr>
            <w:tcW w:w="2182" w:type="dxa"/>
            <w:shd w:val="clear" w:color="auto" w:fill="auto"/>
            <w:vAlign w:val="center"/>
          </w:tcPr>
          <w:p>
            <w:pPr>
              <w:spacing w:line="240" w:lineRule="auto"/>
              <w:jc w:val="center"/>
              <w:rPr>
                <w:rFonts w:hint="eastAsia" w:ascii="华文仿宋" w:hAnsi="华文仿宋" w:eastAsia="华文仿宋" w:cs="华文仿宋"/>
                <w:sz w:val="24"/>
                <w:szCs w:val="24"/>
                <w14:ligatures w14:val="standardContextual"/>
              </w:rPr>
            </w:pPr>
            <w:r>
              <w:rPr>
                <w:rFonts w:hint="eastAsia" w:ascii="华文仿宋" w:hAnsi="华文仿宋" w:eastAsia="华文仿宋" w:cs="华文仿宋"/>
                <w:sz w:val="24"/>
                <w:szCs w:val="24"/>
                <w14:ligatures w14:val="standardContextual"/>
              </w:rPr>
              <w:t>15.4-19.9</w:t>
            </w:r>
          </w:p>
        </w:tc>
        <w:tc>
          <w:tcPr>
            <w:tcW w:w="953" w:type="dxa"/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hint="eastAsia" w:ascii="华文仿宋" w:hAnsi="华文仿宋" w:eastAsia="华文仿宋" w:cs="华文仿宋"/>
                <w:sz w:val="24"/>
                <w:szCs w:val="24"/>
                <w14:ligatures w14:val="standardContextual"/>
              </w:rPr>
            </w:pPr>
            <w:r>
              <w:rPr>
                <w:rFonts w:hint="eastAsia" w:ascii="华文仿宋" w:hAnsi="华文仿宋" w:eastAsia="华文仿宋" w:cs="华文仿宋"/>
                <w:sz w:val="24"/>
                <w:szCs w:val="24"/>
                <w14:ligatures w14:val="standardContextual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6271" w:type="dxa"/>
            <w:gridSpan w:val="4"/>
            <w:noWrap/>
            <w:vAlign w:val="center"/>
          </w:tcPr>
          <w:p>
            <w:pPr>
              <w:spacing w:line="240" w:lineRule="auto"/>
              <w:jc w:val="center"/>
              <w:rPr>
                <w:rFonts w:hint="eastAsia" w:ascii="华文仿宋" w:hAnsi="华文仿宋" w:eastAsia="华文仿宋" w:cs="华文仿宋"/>
                <w:b/>
                <w:bCs/>
                <w:sz w:val="24"/>
                <w:szCs w:val="24"/>
                <w14:ligatures w14:val="standardContextual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4"/>
                <w:szCs w:val="24"/>
                <w14:ligatures w14:val="standardContextual"/>
              </w:rPr>
              <w:t>小计</w:t>
            </w:r>
          </w:p>
        </w:tc>
        <w:tc>
          <w:tcPr>
            <w:tcW w:w="953" w:type="dxa"/>
            <w:shd w:val="clear" w:color="auto" w:fill="auto"/>
            <w:noWrap/>
            <w:vAlign w:val="center"/>
          </w:tcPr>
          <w:p>
            <w:pPr>
              <w:keepNext/>
              <w:snapToGrid/>
              <w:spacing w:line="240" w:lineRule="auto"/>
              <w:jc w:val="center"/>
              <w:textAlignment w:val="center"/>
              <w:rPr>
                <w:rFonts w:hint="eastAsia" w:ascii="华文仿宋" w:hAnsi="华文仿宋" w:eastAsia="华文仿宋" w:cs="华文仿宋"/>
                <w:b/>
                <w:bCs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</w:tr>
    </w:tbl>
    <w:p>
      <w:pPr>
        <w:widowControl/>
        <w:rPr>
          <w:rFonts w:hint="eastAsia" w:ascii="宋体" w:hAnsi="宋体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type w:val="continuous"/>
      <w:pgSz w:w="23811" w:h="16838" w:orient="landscape"/>
      <w:pgMar w:top="1417" w:right="1361" w:bottom="1417" w:left="1361" w:header="720" w:footer="720" w:gutter="0"/>
      <w:cols w:space="720" w:num="2"/>
      <w:docGrid w:linePitch="299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01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minorHAnsi">
    <w:altName w:val="Quicksand Ligh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ambria">
    <w:altName w:val="Noto Sans Syriac Eastern"/>
    <w:panose1 w:val="02040503050406030204"/>
    <w:charset w:val="00"/>
    <w:family w:val="roman"/>
    <w:pitch w:val="default"/>
    <w:sig w:usb0="00000000" w:usb1="00000000" w:usb2="02000000" w:usb3="00000000" w:csb0="0000019F" w:csb1="00000000"/>
  </w:font>
  <w:font w:name="等线 Light">
    <w:altName w:val="华文中宋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华文仿宋">
    <w:altName w:val="汉仪仿宋简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0F3C52" w:usb2="00000016" w:usb3="00000000" w:csb0="0004001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Quicksand Light">
    <w:panose1 w:val="00000400000000000000"/>
    <w:charset w:val="00"/>
    <w:family w:val="auto"/>
    <w:pitch w:val="default"/>
    <w:sig w:usb0="2000000F" w:usb1="00000001" w:usb2="00000000" w:usb3="00000000" w:csb0="20000193" w:csb1="00000000"/>
  </w:font>
  <w:font w:name="微软简仿宋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仿宋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46384648"/>
    </w:sdtPr>
    <w:sdtContent>
      <w:p>
        <w:pPr>
          <w:pStyle w:val="13"/>
          <w:jc w:val="center"/>
          <w:rPr>
            <w:rFonts w:hint="eastAsia"/>
          </w:rPr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rFonts w:hint="eastAsia"/>
            <w:lang w:val="zh-CN"/>
          </w:rPr>
          <w:t>29</w:t>
        </w:r>
        <w:r>
          <w:fldChar w:fldCharType="end"/>
        </w:r>
      </w:p>
    </w:sdtContent>
  </w:sdt>
  <w:p>
    <w:pPr>
      <w:pStyle w:val="13"/>
      <w:rPr>
        <w:rFonts w:hint="eastAsi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rPr>
        <w:rFonts w:hint="eastAsia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jc w:val="right"/>
      <w:rPr>
        <w:rFonts w:hint="eastAsia"/>
      </w:rPr>
    </w:pPr>
    <w:r>
      <w:rPr>
        <w:rFonts w:hint="eastAsia" w:ascii="宋体" w:hAnsi="宋体" w:eastAsia="宋体" w:cs="宋体"/>
        <w:color w:val="000000" w:themeColor="text1"/>
        <w:sz w:val="21"/>
        <w:szCs w:val="21"/>
        <w14:textFill>
          <w14:solidFill>
            <w14:schemeClr w14:val="tx1"/>
          </w14:solidFill>
        </w14:textFill>
      </w:rPr>
      <w:t>华南国家植物园白云山迁地保护示范区一期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rPr>
        <w:rFonts w:hint="eastAsia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BmMGRiZjk4M2JhNjIxYzQwZGI2NTJiOGI2Zjg5NmMifQ=="/>
  </w:docVars>
  <w:rsids>
    <w:rsidRoot w:val="00E023A0"/>
    <w:rsid w:val="00003D4C"/>
    <w:rsid w:val="000055C0"/>
    <w:rsid w:val="0001421F"/>
    <w:rsid w:val="00014782"/>
    <w:rsid w:val="00021B67"/>
    <w:rsid w:val="00022696"/>
    <w:rsid w:val="00023BD9"/>
    <w:rsid w:val="00031ACB"/>
    <w:rsid w:val="00040548"/>
    <w:rsid w:val="00044389"/>
    <w:rsid w:val="00060DC1"/>
    <w:rsid w:val="00066371"/>
    <w:rsid w:val="00067038"/>
    <w:rsid w:val="000706A3"/>
    <w:rsid w:val="000747D7"/>
    <w:rsid w:val="00083FD3"/>
    <w:rsid w:val="000A3D51"/>
    <w:rsid w:val="000A50CE"/>
    <w:rsid w:val="000A5981"/>
    <w:rsid w:val="000B08FE"/>
    <w:rsid w:val="000B41F5"/>
    <w:rsid w:val="000C293C"/>
    <w:rsid w:val="000C35D4"/>
    <w:rsid w:val="000C3D2C"/>
    <w:rsid w:val="000C6BE0"/>
    <w:rsid w:val="000D6853"/>
    <w:rsid w:val="000D7B17"/>
    <w:rsid w:val="00127B21"/>
    <w:rsid w:val="001379C7"/>
    <w:rsid w:val="00137CB4"/>
    <w:rsid w:val="00137FCC"/>
    <w:rsid w:val="00140FBF"/>
    <w:rsid w:val="00143D9A"/>
    <w:rsid w:val="001469EE"/>
    <w:rsid w:val="001823A4"/>
    <w:rsid w:val="00184DFC"/>
    <w:rsid w:val="00194A65"/>
    <w:rsid w:val="001A2C68"/>
    <w:rsid w:val="001A30B3"/>
    <w:rsid w:val="001A5F70"/>
    <w:rsid w:val="001B2839"/>
    <w:rsid w:val="001B7560"/>
    <w:rsid w:val="001C0E33"/>
    <w:rsid w:val="001D450D"/>
    <w:rsid w:val="001F109D"/>
    <w:rsid w:val="001F250C"/>
    <w:rsid w:val="001F3E0D"/>
    <w:rsid w:val="001F7D0E"/>
    <w:rsid w:val="002068CE"/>
    <w:rsid w:val="0021118F"/>
    <w:rsid w:val="002115C2"/>
    <w:rsid w:val="002201AD"/>
    <w:rsid w:val="00221021"/>
    <w:rsid w:val="0022467F"/>
    <w:rsid w:val="00225FE4"/>
    <w:rsid w:val="0024047D"/>
    <w:rsid w:val="0024341B"/>
    <w:rsid w:val="00245DEC"/>
    <w:rsid w:val="0025407B"/>
    <w:rsid w:val="00254D7A"/>
    <w:rsid w:val="0026375D"/>
    <w:rsid w:val="00266499"/>
    <w:rsid w:val="002679C2"/>
    <w:rsid w:val="00267F59"/>
    <w:rsid w:val="00292BFD"/>
    <w:rsid w:val="002940F7"/>
    <w:rsid w:val="002956DC"/>
    <w:rsid w:val="00296050"/>
    <w:rsid w:val="002A38C2"/>
    <w:rsid w:val="002A74B5"/>
    <w:rsid w:val="002E04C6"/>
    <w:rsid w:val="002E3130"/>
    <w:rsid w:val="002E46A9"/>
    <w:rsid w:val="002E4A61"/>
    <w:rsid w:val="002F66DD"/>
    <w:rsid w:val="0030035C"/>
    <w:rsid w:val="003004E7"/>
    <w:rsid w:val="003033A6"/>
    <w:rsid w:val="00311F42"/>
    <w:rsid w:val="003131B2"/>
    <w:rsid w:val="0032709D"/>
    <w:rsid w:val="003306B8"/>
    <w:rsid w:val="003335F1"/>
    <w:rsid w:val="00333CB5"/>
    <w:rsid w:val="00335FFC"/>
    <w:rsid w:val="00341BF8"/>
    <w:rsid w:val="003470D8"/>
    <w:rsid w:val="003472C3"/>
    <w:rsid w:val="003634E3"/>
    <w:rsid w:val="003635D7"/>
    <w:rsid w:val="0036573F"/>
    <w:rsid w:val="003668EC"/>
    <w:rsid w:val="00373B42"/>
    <w:rsid w:val="003753B9"/>
    <w:rsid w:val="003757B7"/>
    <w:rsid w:val="00397A73"/>
    <w:rsid w:val="003A0BB6"/>
    <w:rsid w:val="003A602E"/>
    <w:rsid w:val="003B1419"/>
    <w:rsid w:val="003B2730"/>
    <w:rsid w:val="003B54D9"/>
    <w:rsid w:val="003D413E"/>
    <w:rsid w:val="004036DA"/>
    <w:rsid w:val="0040546B"/>
    <w:rsid w:val="004148CC"/>
    <w:rsid w:val="00432FC6"/>
    <w:rsid w:val="004362AA"/>
    <w:rsid w:val="00451474"/>
    <w:rsid w:val="00467436"/>
    <w:rsid w:val="00476127"/>
    <w:rsid w:val="0048520E"/>
    <w:rsid w:val="00493108"/>
    <w:rsid w:val="00495BD7"/>
    <w:rsid w:val="004A31E0"/>
    <w:rsid w:val="004E1131"/>
    <w:rsid w:val="004E3FF7"/>
    <w:rsid w:val="004E5B07"/>
    <w:rsid w:val="004E7E24"/>
    <w:rsid w:val="004F4FAC"/>
    <w:rsid w:val="00504B7A"/>
    <w:rsid w:val="005056FE"/>
    <w:rsid w:val="00524BBE"/>
    <w:rsid w:val="00546D8F"/>
    <w:rsid w:val="005535DF"/>
    <w:rsid w:val="00572314"/>
    <w:rsid w:val="00573322"/>
    <w:rsid w:val="005947AC"/>
    <w:rsid w:val="005A4495"/>
    <w:rsid w:val="005A4B12"/>
    <w:rsid w:val="005A5CCE"/>
    <w:rsid w:val="005B2CC7"/>
    <w:rsid w:val="005C1652"/>
    <w:rsid w:val="005D0919"/>
    <w:rsid w:val="005D2ADE"/>
    <w:rsid w:val="005D2DBD"/>
    <w:rsid w:val="006122C9"/>
    <w:rsid w:val="00617693"/>
    <w:rsid w:val="00634A06"/>
    <w:rsid w:val="006665FD"/>
    <w:rsid w:val="00680AC3"/>
    <w:rsid w:val="00685BE2"/>
    <w:rsid w:val="006B6CC6"/>
    <w:rsid w:val="006B6E1E"/>
    <w:rsid w:val="006D6B7B"/>
    <w:rsid w:val="006E018B"/>
    <w:rsid w:val="006E23DB"/>
    <w:rsid w:val="006E53CF"/>
    <w:rsid w:val="006F170A"/>
    <w:rsid w:val="006F1A44"/>
    <w:rsid w:val="006F2552"/>
    <w:rsid w:val="007015BD"/>
    <w:rsid w:val="0070419F"/>
    <w:rsid w:val="00705CC6"/>
    <w:rsid w:val="007155A3"/>
    <w:rsid w:val="0072610D"/>
    <w:rsid w:val="00731371"/>
    <w:rsid w:val="00731B99"/>
    <w:rsid w:val="00732A3D"/>
    <w:rsid w:val="0073483D"/>
    <w:rsid w:val="00734A43"/>
    <w:rsid w:val="007407B7"/>
    <w:rsid w:val="00740B4C"/>
    <w:rsid w:val="007452DF"/>
    <w:rsid w:val="00745AE2"/>
    <w:rsid w:val="0074668D"/>
    <w:rsid w:val="00754563"/>
    <w:rsid w:val="0076184F"/>
    <w:rsid w:val="00762239"/>
    <w:rsid w:val="00763487"/>
    <w:rsid w:val="007775A3"/>
    <w:rsid w:val="007840E9"/>
    <w:rsid w:val="00784D85"/>
    <w:rsid w:val="0078621A"/>
    <w:rsid w:val="00794846"/>
    <w:rsid w:val="007A011F"/>
    <w:rsid w:val="007A3EFD"/>
    <w:rsid w:val="007A440F"/>
    <w:rsid w:val="007A5BD1"/>
    <w:rsid w:val="007C70C7"/>
    <w:rsid w:val="007D7515"/>
    <w:rsid w:val="007F1A92"/>
    <w:rsid w:val="008026CB"/>
    <w:rsid w:val="0081192B"/>
    <w:rsid w:val="00813CE8"/>
    <w:rsid w:val="00821587"/>
    <w:rsid w:val="00832522"/>
    <w:rsid w:val="008338BF"/>
    <w:rsid w:val="008400A2"/>
    <w:rsid w:val="008454AF"/>
    <w:rsid w:val="00853F32"/>
    <w:rsid w:val="00854516"/>
    <w:rsid w:val="00870129"/>
    <w:rsid w:val="00874B34"/>
    <w:rsid w:val="00894E45"/>
    <w:rsid w:val="00894E84"/>
    <w:rsid w:val="0089655C"/>
    <w:rsid w:val="008978AA"/>
    <w:rsid w:val="008A40D0"/>
    <w:rsid w:val="008B1DA1"/>
    <w:rsid w:val="008B793A"/>
    <w:rsid w:val="008E56CB"/>
    <w:rsid w:val="008E5EBF"/>
    <w:rsid w:val="008F32D7"/>
    <w:rsid w:val="009124E2"/>
    <w:rsid w:val="009144EB"/>
    <w:rsid w:val="009179A6"/>
    <w:rsid w:val="00917B79"/>
    <w:rsid w:val="0092411A"/>
    <w:rsid w:val="0092593C"/>
    <w:rsid w:val="00937446"/>
    <w:rsid w:val="009568FD"/>
    <w:rsid w:val="0096465B"/>
    <w:rsid w:val="00967387"/>
    <w:rsid w:val="00980BB5"/>
    <w:rsid w:val="009835FF"/>
    <w:rsid w:val="00986190"/>
    <w:rsid w:val="009A172D"/>
    <w:rsid w:val="009B5927"/>
    <w:rsid w:val="009C0C8E"/>
    <w:rsid w:val="009E1B39"/>
    <w:rsid w:val="009E6C20"/>
    <w:rsid w:val="009F7D7B"/>
    <w:rsid w:val="00A024B4"/>
    <w:rsid w:val="00A10A10"/>
    <w:rsid w:val="00A10E40"/>
    <w:rsid w:val="00A1188F"/>
    <w:rsid w:val="00A15647"/>
    <w:rsid w:val="00A17E2D"/>
    <w:rsid w:val="00A26586"/>
    <w:rsid w:val="00A30E4F"/>
    <w:rsid w:val="00A319CC"/>
    <w:rsid w:val="00A31DCA"/>
    <w:rsid w:val="00A32C7B"/>
    <w:rsid w:val="00A41354"/>
    <w:rsid w:val="00A434B2"/>
    <w:rsid w:val="00A46870"/>
    <w:rsid w:val="00A51FC3"/>
    <w:rsid w:val="00A52285"/>
    <w:rsid w:val="00A54122"/>
    <w:rsid w:val="00A618CB"/>
    <w:rsid w:val="00A822BF"/>
    <w:rsid w:val="00A9344F"/>
    <w:rsid w:val="00AB1C75"/>
    <w:rsid w:val="00AB268C"/>
    <w:rsid w:val="00AB6CEE"/>
    <w:rsid w:val="00AD0BBC"/>
    <w:rsid w:val="00AD79C3"/>
    <w:rsid w:val="00AD7D6B"/>
    <w:rsid w:val="00AE209C"/>
    <w:rsid w:val="00B04086"/>
    <w:rsid w:val="00B115D8"/>
    <w:rsid w:val="00B12669"/>
    <w:rsid w:val="00B32076"/>
    <w:rsid w:val="00B4216A"/>
    <w:rsid w:val="00B43965"/>
    <w:rsid w:val="00B54BA5"/>
    <w:rsid w:val="00B7046B"/>
    <w:rsid w:val="00B73DFB"/>
    <w:rsid w:val="00B92CC4"/>
    <w:rsid w:val="00B97080"/>
    <w:rsid w:val="00BA0626"/>
    <w:rsid w:val="00BA2F39"/>
    <w:rsid w:val="00BB3A27"/>
    <w:rsid w:val="00BB55F0"/>
    <w:rsid w:val="00BB6D10"/>
    <w:rsid w:val="00BD36B8"/>
    <w:rsid w:val="00BD4C4D"/>
    <w:rsid w:val="00BD7DB2"/>
    <w:rsid w:val="00BE1494"/>
    <w:rsid w:val="00BE188E"/>
    <w:rsid w:val="00BF6AD7"/>
    <w:rsid w:val="00C05127"/>
    <w:rsid w:val="00C05F00"/>
    <w:rsid w:val="00C11A17"/>
    <w:rsid w:val="00C121AE"/>
    <w:rsid w:val="00C12391"/>
    <w:rsid w:val="00C144A0"/>
    <w:rsid w:val="00C2023F"/>
    <w:rsid w:val="00C409AB"/>
    <w:rsid w:val="00C41FB1"/>
    <w:rsid w:val="00C44211"/>
    <w:rsid w:val="00C51CC8"/>
    <w:rsid w:val="00C5315B"/>
    <w:rsid w:val="00C5421F"/>
    <w:rsid w:val="00C56E42"/>
    <w:rsid w:val="00C66C48"/>
    <w:rsid w:val="00C748A2"/>
    <w:rsid w:val="00C94E6F"/>
    <w:rsid w:val="00C9589D"/>
    <w:rsid w:val="00C97213"/>
    <w:rsid w:val="00CA0AD0"/>
    <w:rsid w:val="00CA4905"/>
    <w:rsid w:val="00CA617E"/>
    <w:rsid w:val="00CA694F"/>
    <w:rsid w:val="00CC045E"/>
    <w:rsid w:val="00CC60B9"/>
    <w:rsid w:val="00CD26A7"/>
    <w:rsid w:val="00CE126B"/>
    <w:rsid w:val="00CF0183"/>
    <w:rsid w:val="00CF1065"/>
    <w:rsid w:val="00CF57D3"/>
    <w:rsid w:val="00D074B7"/>
    <w:rsid w:val="00D1405D"/>
    <w:rsid w:val="00D15710"/>
    <w:rsid w:val="00D16164"/>
    <w:rsid w:val="00D34D79"/>
    <w:rsid w:val="00D36A67"/>
    <w:rsid w:val="00D53AC4"/>
    <w:rsid w:val="00D54F34"/>
    <w:rsid w:val="00D6031C"/>
    <w:rsid w:val="00D629E9"/>
    <w:rsid w:val="00D62C99"/>
    <w:rsid w:val="00D6412D"/>
    <w:rsid w:val="00D649AB"/>
    <w:rsid w:val="00D66D50"/>
    <w:rsid w:val="00D720C2"/>
    <w:rsid w:val="00D72855"/>
    <w:rsid w:val="00D81C25"/>
    <w:rsid w:val="00D820AE"/>
    <w:rsid w:val="00D97476"/>
    <w:rsid w:val="00DA5FBC"/>
    <w:rsid w:val="00DA7D21"/>
    <w:rsid w:val="00DA7FFC"/>
    <w:rsid w:val="00DB0A43"/>
    <w:rsid w:val="00DB37AD"/>
    <w:rsid w:val="00DB7EBA"/>
    <w:rsid w:val="00DE2F85"/>
    <w:rsid w:val="00DE30C0"/>
    <w:rsid w:val="00DE3C40"/>
    <w:rsid w:val="00DE5DB0"/>
    <w:rsid w:val="00DF50E1"/>
    <w:rsid w:val="00E023A0"/>
    <w:rsid w:val="00E05509"/>
    <w:rsid w:val="00E05CEE"/>
    <w:rsid w:val="00E353B2"/>
    <w:rsid w:val="00E36096"/>
    <w:rsid w:val="00E42440"/>
    <w:rsid w:val="00E45C25"/>
    <w:rsid w:val="00E502E7"/>
    <w:rsid w:val="00E54BB2"/>
    <w:rsid w:val="00E5540E"/>
    <w:rsid w:val="00E652B1"/>
    <w:rsid w:val="00E65D6A"/>
    <w:rsid w:val="00E8486F"/>
    <w:rsid w:val="00E90AF2"/>
    <w:rsid w:val="00E97E9C"/>
    <w:rsid w:val="00EA31D2"/>
    <w:rsid w:val="00EA3342"/>
    <w:rsid w:val="00EA4A38"/>
    <w:rsid w:val="00EB2C5B"/>
    <w:rsid w:val="00EB31B6"/>
    <w:rsid w:val="00EC2266"/>
    <w:rsid w:val="00EC7AC4"/>
    <w:rsid w:val="00ED3F90"/>
    <w:rsid w:val="00ED542F"/>
    <w:rsid w:val="00EE6027"/>
    <w:rsid w:val="00EE7577"/>
    <w:rsid w:val="00F00E23"/>
    <w:rsid w:val="00F05744"/>
    <w:rsid w:val="00F210C7"/>
    <w:rsid w:val="00F24329"/>
    <w:rsid w:val="00F32249"/>
    <w:rsid w:val="00F40956"/>
    <w:rsid w:val="00F45BB2"/>
    <w:rsid w:val="00F63351"/>
    <w:rsid w:val="00F65E33"/>
    <w:rsid w:val="00F734A2"/>
    <w:rsid w:val="00F84440"/>
    <w:rsid w:val="00FA24D5"/>
    <w:rsid w:val="00FA5E94"/>
    <w:rsid w:val="00FA6BCB"/>
    <w:rsid w:val="00FB740D"/>
    <w:rsid w:val="00FB79A4"/>
    <w:rsid w:val="00FD06F3"/>
    <w:rsid w:val="00FD2101"/>
    <w:rsid w:val="00FE6906"/>
    <w:rsid w:val="00FF2F74"/>
    <w:rsid w:val="00FF5F4B"/>
    <w:rsid w:val="00FF7C9E"/>
    <w:rsid w:val="175F8C8C"/>
    <w:rsid w:val="23073EBF"/>
    <w:rsid w:val="2B7313AC"/>
    <w:rsid w:val="3B4A1408"/>
    <w:rsid w:val="3B93CDC5"/>
    <w:rsid w:val="3C3806DD"/>
    <w:rsid w:val="CE3008D2"/>
    <w:rsid w:val="DEFEB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minorHAnsi" w:hAnsi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nhideWhenUsed="0" w:uiPriority="0" w:semiHidden="0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nhideWhenUsed="0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9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9" w:semiHidden="0" w:name="Subtitle"/>
    <w:lsdException w:uiPriority="99" w:name="Salutation"/>
    <w:lsdException w:qFormat="1" w:uiPriority="99" w:name="Date"/>
    <w:lsdException w:qFormat="1"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napToGrid w:val="0"/>
      <w:spacing w:before="60" w:after="60" w:line="312" w:lineRule="auto"/>
    </w:pPr>
    <w:rPr>
      <w:rFonts w:ascii="minorHAnsi" w:hAnsi="minorHAnsi" w:eastAsiaTheme="minorEastAsia" w:cstheme="minorBidi"/>
      <w:color w:val="333333"/>
      <w:kern w:val="2"/>
      <w:sz w:val="22"/>
      <w:szCs w:val="22"/>
      <w:lang w:val="en-US" w:eastAsia="zh-CN" w:bidi="ar-SA"/>
    </w:rPr>
  </w:style>
  <w:style w:type="paragraph" w:styleId="3">
    <w:name w:val="heading 1"/>
    <w:basedOn w:val="1"/>
    <w:next w:val="1"/>
    <w:link w:val="27"/>
    <w:qFormat/>
    <w:uiPriority w:val="9"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paragraph" w:styleId="2">
    <w:name w:val="heading 2"/>
    <w:basedOn w:val="1"/>
    <w:next w:val="1"/>
    <w:link w:val="28"/>
    <w:qFormat/>
    <w:uiPriority w:val="9"/>
    <w:pPr>
      <w:keepNext/>
      <w:keepLines/>
      <w:spacing w:before="0" w:after="0" w:line="408" w:lineRule="auto"/>
      <w:outlineLvl w:val="1"/>
    </w:pPr>
    <w:rPr>
      <w:b/>
      <w:bCs/>
      <w:color w:val="1A1A1A"/>
      <w:sz w:val="32"/>
      <w:szCs w:val="32"/>
    </w:rPr>
  </w:style>
  <w:style w:type="paragraph" w:styleId="4">
    <w:name w:val="heading 3"/>
    <w:basedOn w:val="1"/>
    <w:next w:val="1"/>
    <w:link w:val="29"/>
    <w:qFormat/>
    <w:uiPriority w:val="9"/>
    <w:pPr>
      <w:keepNext/>
      <w:keepLines/>
      <w:spacing w:before="0" w:after="0" w:line="408" w:lineRule="auto"/>
      <w:outlineLvl w:val="2"/>
    </w:pPr>
    <w:rPr>
      <w:b/>
      <w:bCs/>
      <w:color w:val="1A1A1A"/>
      <w:sz w:val="28"/>
      <w:szCs w:val="28"/>
    </w:rPr>
  </w:style>
  <w:style w:type="paragraph" w:styleId="5">
    <w:name w:val="heading 4"/>
    <w:basedOn w:val="1"/>
    <w:next w:val="1"/>
    <w:link w:val="30"/>
    <w:qFormat/>
    <w:uiPriority w:val="9"/>
    <w:pPr>
      <w:keepNext/>
      <w:keepLines/>
      <w:spacing w:before="0" w:after="0" w:line="408" w:lineRule="auto"/>
      <w:outlineLvl w:val="3"/>
    </w:pPr>
    <w:rPr>
      <w:b/>
      <w:bCs/>
      <w:color w:val="1A1A1A"/>
      <w:sz w:val="24"/>
      <w:szCs w:val="24"/>
    </w:rPr>
  </w:style>
  <w:style w:type="paragraph" w:styleId="6">
    <w:name w:val="heading 5"/>
    <w:basedOn w:val="1"/>
    <w:next w:val="1"/>
    <w:link w:val="51"/>
    <w:semiHidden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23">
    <w:name w:val="Default Paragraph Font"/>
    <w:semiHidden/>
    <w:unhideWhenUsed/>
    <w:qFormat/>
    <w:uiPriority w:val="1"/>
  </w:style>
  <w:style w:type="table" w:default="1" w:styleId="2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Normal Indent"/>
    <w:basedOn w:val="1"/>
    <w:next w:val="8"/>
    <w:qFormat/>
    <w:uiPriority w:val="0"/>
    <w:pPr>
      <w:adjustRightInd w:val="0"/>
      <w:ind w:firstLine="1046" w:firstLineChars="200"/>
      <w:textAlignment w:val="baseline"/>
    </w:pPr>
    <w:rPr>
      <w:kern w:val="0"/>
    </w:rPr>
  </w:style>
  <w:style w:type="paragraph" w:styleId="8">
    <w:name w:val="toc 4"/>
    <w:basedOn w:val="1"/>
    <w:next w:val="1"/>
    <w:qFormat/>
    <w:uiPriority w:val="0"/>
  </w:style>
  <w:style w:type="paragraph" w:styleId="9">
    <w:name w:val="caption"/>
    <w:basedOn w:val="1"/>
    <w:next w:val="1"/>
    <w:qFormat/>
    <w:uiPriority w:val="35"/>
    <w:rPr>
      <w:rFonts w:ascii="Cambria" w:hAnsi="Cambria" w:eastAsia="黑体"/>
      <w:sz w:val="20"/>
      <w:szCs w:val="20"/>
    </w:rPr>
  </w:style>
  <w:style w:type="paragraph" w:styleId="10">
    <w:name w:val="Body Text"/>
    <w:basedOn w:val="1"/>
    <w:link w:val="35"/>
    <w:qFormat/>
    <w:uiPriority w:val="1"/>
    <w:pPr>
      <w:snapToGrid/>
      <w:spacing w:before="0" w:after="120" w:line="240" w:lineRule="auto"/>
      <w:jc w:val="both"/>
    </w:pPr>
    <w:rPr>
      <w:rFonts w:ascii="Calibri" w:hAnsi="Calibri" w:eastAsia="宋体" w:cs="Times New Roman"/>
      <w:color w:val="auto"/>
      <w:sz w:val="21"/>
    </w:rPr>
  </w:style>
  <w:style w:type="paragraph" w:styleId="11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2">
    <w:name w:val="Date"/>
    <w:basedOn w:val="1"/>
    <w:next w:val="1"/>
    <w:link w:val="36"/>
    <w:semiHidden/>
    <w:unhideWhenUsed/>
    <w:qFormat/>
    <w:uiPriority w:val="99"/>
    <w:pPr>
      <w:ind w:left="100" w:leftChars="2500"/>
    </w:pPr>
  </w:style>
  <w:style w:type="paragraph" w:styleId="13">
    <w:name w:val="footer"/>
    <w:basedOn w:val="1"/>
    <w:link w:val="26"/>
    <w:unhideWhenUsed/>
    <w:qFormat/>
    <w:uiPriority w:val="99"/>
    <w:pPr>
      <w:tabs>
        <w:tab w:val="center" w:pos="4153"/>
        <w:tab w:val="right" w:pos="8306"/>
      </w:tabs>
      <w:spacing w:line="240" w:lineRule="auto"/>
    </w:pPr>
    <w:rPr>
      <w:sz w:val="18"/>
      <w:szCs w:val="18"/>
    </w:rPr>
  </w:style>
  <w:style w:type="paragraph" w:styleId="14">
    <w:name w:val="header"/>
    <w:basedOn w:val="1"/>
    <w:link w:val="2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pacing w:line="240" w:lineRule="auto"/>
      <w:jc w:val="center"/>
    </w:pPr>
    <w:rPr>
      <w:sz w:val="18"/>
      <w:szCs w:val="18"/>
    </w:rPr>
  </w:style>
  <w:style w:type="paragraph" w:styleId="15">
    <w:name w:val="toc 1"/>
    <w:basedOn w:val="1"/>
    <w:next w:val="1"/>
    <w:unhideWhenUsed/>
    <w:qFormat/>
    <w:uiPriority w:val="39"/>
  </w:style>
  <w:style w:type="paragraph" w:styleId="16">
    <w:name w:val="Subtitle"/>
    <w:basedOn w:val="1"/>
    <w:next w:val="1"/>
    <w:link w:val="44"/>
    <w:qFormat/>
    <w:uiPriority w:val="9"/>
    <w:pPr>
      <w:keepNext/>
      <w:keepLines/>
      <w:spacing w:before="0" w:after="0" w:line="408" w:lineRule="auto"/>
      <w:jc w:val="center"/>
      <w:outlineLvl w:val="1"/>
    </w:pPr>
    <w:rPr>
      <w:b/>
      <w:bCs/>
      <w:color w:val="5C5C5C"/>
      <w:sz w:val="36"/>
      <w:szCs w:val="36"/>
    </w:rPr>
  </w:style>
  <w:style w:type="paragraph" w:styleId="17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8">
    <w:name w:val="Normal (Web)"/>
    <w:basedOn w:val="1"/>
    <w:unhideWhenUsed/>
    <w:qFormat/>
    <w:uiPriority w:val="99"/>
    <w:pPr>
      <w:widowControl/>
      <w:snapToGrid/>
      <w:spacing w:before="100" w:beforeAutospacing="1" w:after="100" w:afterAutospacing="1" w:line="240" w:lineRule="auto"/>
    </w:pPr>
    <w:rPr>
      <w:rFonts w:ascii="宋体" w:hAnsi="宋体" w:eastAsia="宋体" w:cs="宋体"/>
      <w:color w:val="auto"/>
      <w:kern w:val="0"/>
      <w:sz w:val="24"/>
      <w:szCs w:val="24"/>
    </w:rPr>
  </w:style>
  <w:style w:type="paragraph" w:styleId="19">
    <w:name w:val="Title"/>
    <w:basedOn w:val="1"/>
    <w:next w:val="1"/>
    <w:link w:val="47"/>
    <w:qFormat/>
    <w:uiPriority w:val="9"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paragraph" w:styleId="20">
    <w:name w:val="Body Text First Indent"/>
    <w:basedOn w:val="10"/>
    <w:link w:val="43"/>
    <w:semiHidden/>
    <w:unhideWhenUsed/>
    <w:qFormat/>
    <w:uiPriority w:val="99"/>
    <w:pPr>
      <w:snapToGrid w:val="0"/>
      <w:spacing w:before="60" w:line="312" w:lineRule="auto"/>
      <w:ind w:firstLine="420" w:firstLineChars="100"/>
      <w:jc w:val="left"/>
    </w:pPr>
    <w:rPr>
      <w:rFonts w:ascii="minorHAnsi" w:hAnsi="minorHAnsi" w:eastAsiaTheme="minorEastAsia" w:cstheme="minorBidi"/>
      <w:color w:val="333333"/>
      <w:sz w:val="22"/>
    </w:rPr>
  </w:style>
  <w:style w:type="table" w:styleId="22">
    <w:name w:val="Table Grid"/>
    <w:basedOn w:val="21"/>
    <w:qFormat/>
    <w:uiPriority w:val="0"/>
    <w:tblPr>
      <w:tblBorders>
        <w:top w:val="single" w:color="CBCDD1" w:sz="6" w:space="0"/>
        <w:left w:val="single" w:color="CBCDD1" w:sz="6" w:space="0"/>
        <w:bottom w:val="single" w:color="CBCDD1" w:sz="6" w:space="0"/>
        <w:right w:val="single" w:color="CBCDD1" w:sz="6" w:space="0"/>
        <w:insideH w:val="single" w:color="CBCDD1" w:sz="6" w:space="0"/>
        <w:insideV w:val="single" w:color="CBCDD1" w:sz="6" w:space="0"/>
      </w:tblBorders>
    </w:tblPr>
    <w:tcPr>
      <w:vAlign w:val="center"/>
    </w:tcPr>
  </w:style>
  <w:style w:type="character" w:styleId="24">
    <w:name w:val="Hyperlink"/>
    <w:basedOn w:val="2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5">
    <w:name w:val="页眉 字符"/>
    <w:basedOn w:val="23"/>
    <w:link w:val="14"/>
    <w:qFormat/>
    <w:uiPriority w:val="99"/>
    <w:rPr>
      <w:sz w:val="18"/>
      <w:szCs w:val="18"/>
    </w:rPr>
  </w:style>
  <w:style w:type="character" w:customStyle="1" w:styleId="26">
    <w:name w:val="页脚 字符"/>
    <w:basedOn w:val="23"/>
    <w:link w:val="13"/>
    <w:qFormat/>
    <w:uiPriority w:val="99"/>
    <w:rPr>
      <w:sz w:val="18"/>
      <w:szCs w:val="18"/>
    </w:rPr>
  </w:style>
  <w:style w:type="character" w:customStyle="1" w:styleId="27">
    <w:name w:val="标题 1 字符"/>
    <w:basedOn w:val="23"/>
    <w:link w:val="3"/>
    <w:qFormat/>
    <w:uiPriority w:val="9"/>
    <w:rPr>
      <w:b/>
      <w:bCs/>
      <w:color w:val="1A1A1A"/>
      <w:sz w:val="36"/>
      <w:szCs w:val="36"/>
    </w:rPr>
  </w:style>
  <w:style w:type="character" w:customStyle="1" w:styleId="28">
    <w:name w:val="标题 2 字符"/>
    <w:basedOn w:val="23"/>
    <w:link w:val="2"/>
    <w:qFormat/>
    <w:uiPriority w:val="9"/>
    <w:rPr>
      <w:b/>
      <w:bCs/>
      <w:color w:val="1A1A1A"/>
      <w:sz w:val="32"/>
      <w:szCs w:val="32"/>
    </w:rPr>
  </w:style>
  <w:style w:type="character" w:customStyle="1" w:styleId="29">
    <w:name w:val="标题 3 字符"/>
    <w:basedOn w:val="23"/>
    <w:link w:val="4"/>
    <w:qFormat/>
    <w:uiPriority w:val="9"/>
    <w:rPr>
      <w:b/>
      <w:bCs/>
      <w:color w:val="1A1A1A"/>
      <w:sz w:val="28"/>
      <w:szCs w:val="28"/>
    </w:rPr>
  </w:style>
  <w:style w:type="character" w:customStyle="1" w:styleId="30">
    <w:name w:val="标题 4 字符"/>
    <w:basedOn w:val="23"/>
    <w:link w:val="5"/>
    <w:qFormat/>
    <w:uiPriority w:val="9"/>
    <w:rPr>
      <w:b/>
      <w:bCs/>
      <w:color w:val="1A1A1A"/>
      <w:sz w:val="24"/>
      <w:szCs w:val="24"/>
    </w:rPr>
  </w:style>
  <w:style w:type="paragraph" w:customStyle="1" w:styleId="31">
    <w:name w:val="msonormal"/>
    <w:basedOn w:val="1"/>
    <w:qFormat/>
    <w:uiPriority w:val="0"/>
    <w:pPr>
      <w:widowControl/>
      <w:snapToGrid/>
      <w:spacing w:before="100" w:beforeAutospacing="1" w:after="100" w:afterAutospacing="1" w:line="240" w:lineRule="auto"/>
    </w:pPr>
    <w:rPr>
      <w:rFonts w:ascii="宋体" w:hAnsi="宋体" w:eastAsia="宋体" w:cs="宋体"/>
      <w:color w:val="auto"/>
      <w:kern w:val="0"/>
      <w:sz w:val="24"/>
      <w:szCs w:val="24"/>
    </w:rPr>
  </w:style>
  <w:style w:type="paragraph" w:customStyle="1" w:styleId="32">
    <w:name w:val="paragraph"/>
    <w:basedOn w:val="1"/>
    <w:semiHidden/>
    <w:qFormat/>
    <w:uiPriority w:val="0"/>
    <w:pPr>
      <w:widowControl/>
      <w:snapToGrid/>
      <w:spacing w:before="100" w:beforeAutospacing="1" w:after="100" w:afterAutospacing="1" w:line="240" w:lineRule="auto"/>
    </w:pPr>
    <w:rPr>
      <w:rFonts w:ascii="等线" w:hAnsi="等线" w:eastAsia="等线" w:cs="Times New Roman"/>
      <w:color w:val="auto"/>
      <w:kern w:val="0"/>
      <w:sz w:val="24"/>
      <w:szCs w:val="24"/>
    </w:rPr>
  </w:style>
  <w:style w:type="paragraph" w:styleId="33">
    <w:name w:val="No Spacing"/>
    <w:qFormat/>
    <w:uiPriority w:val="1"/>
    <w:pPr>
      <w:widowControl w:val="0"/>
      <w:snapToGrid w:val="0"/>
      <w:spacing w:after="160" w:line="278" w:lineRule="auto"/>
    </w:pPr>
    <w:rPr>
      <w:rFonts w:ascii="minorHAnsi" w:hAnsi="minorHAnsi" w:eastAsiaTheme="minorEastAsia" w:cstheme="minorBidi"/>
      <w:color w:val="333333"/>
      <w:kern w:val="2"/>
      <w:sz w:val="22"/>
      <w:szCs w:val="22"/>
      <w:lang w:val="en-US" w:eastAsia="zh-CN" w:bidi="ar-SA"/>
    </w:rPr>
  </w:style>
  <w:style w:type="paragraph" w:customStyle="1" w:styleId="34">
    <w:name w:val="TOC 标题1"/>
    <w:basedOn w:val="3"/>
    <w:next w:val="1"/>
    <w:unhideWhenUsed/>
    <w:qFormat/>
    <w:uiPriority w:val="39"/>
    <w:pPr>
      <w:widowControl/>
      <w:snapToGrid/>
      <w:spacing w:before="24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35">
    <w:name w:val="正文文本 字符"/>
    <w:basedOn w:val="23"/>
    <w:link w:val="10"/>
    <w:qFormat/>
    <w:uiPriority w:val="1"/>
    <w:rPr>
      <w:rFonts w:ascii="Calibri" w:hAnsi="Calibri" w:eastAsia="宋体" w:cs="Times New Roman"/>
      <w:color w:val="auto"/>
      <w:sz w:val="21"/>
    </w:rPr>
  </w:style>
  <w:style w:type="character" w:customStyle="1" w:styleId="36">
    <w:name w:val="日期 字符"/>
    <w:basedOn w:val="23"/>
    <w:link w:val="12"/>
    <w:semiHidden/>
    <w:qFormat/>
    <w:uiPriority w:val="99"/>
  </w:style>
  <w:style w:type="paragraph" w:styleId="37">
    <w:name w:val="List Paragraph"/>
    <w:basedOn w:val="1"/>
    <w:qFormat/>
    <w:uiPriority w:val="34"/>
    <w:pPr>
      <w:ind w:firstLine="420"/>
    </w:pPr>
  </w:style>
  <w:style w:type="character" w:customStyle="1" w:styleId="38">
    <w:name w:val="font141"/>
    <w:basedOn w:val="23"/>
    <w:qFormat/>
    <w:uiPriority w:val="0"/>
    <w:rPr>
      <w:rFonts w:hint="default" w:ascii="Times New Roman" w:hAnsi="Times New Roman" w:cs="Times New Roman"/>
      <w:color w:val="000000"/>
      <w:sz w:val="24"/>
      <w:szCs w:val="24"/>
      <w:u w:val="none"/>
      <w:vertAlign w:val="subscript"/>
    </w:rPr>
  </w:style>
  <w:style w:type="character" w:customStyle="1" w:styleId="39">
    <w:name w:val="font11"/>
    <w:basedOn w:val="23"/>
    <w:qFormat/>
    <w:uiPriority w:val="0"/>
    <w:rPr>
      <w:rFonts w:hint="default" w:ascii="Times New Roman" w:hAnsi="Times New Roman" w:cs="Times New Roman"/>
      <w:color w:val="000000"/>
      <w:sz w:val="24"/>
      <w:szCs w:val="24"/>
      <w:u w:val="none"/>
    </w:rPr>
  </w:style>
  <w:style w:type="character" w:customStyle="1" w:styleId="40">
    <w:name w:val="font151"/>
    <w:basedOn w:val="23"/>
    <w:qFormat/>
    <w:uiPriority w:val="0"/>
    <w:rPr>
      <w:rFonts w:hint="default" w:ascii="Times New Roman" w:hAnsi="Times New Roman" w:cs="Times New Roman"/>
      <w:color w:val="000000"/>
      <w:sz w:val="21"/>
      <w:szCs w:val="21"/>
      <w:u w:val="none"/>
      <w:vertAlign w:val="subscript"/>
    </w:rPr>
  </w:style>
  <w:style w:type="character" w:customStyle="1" w:styleId="41">
    <w:name w:val="font21"/>
    <w:basedOn w:val="23"/>
    <w:qFormat/>
    <w:uiPriority w:val="0"/>
    <w:rPr>
      <w:rFonts w:hint="default" w:ascii="Times New Roman" w:hAnsi="Times New Roman" w:cs="Times New Roman"/>
      <w:color w:val="000000"/>
      <w:sz w:val="21"/>
      <w:szCs w:val="21"/>
      <w:u w:val="none"/>
    </w:rPr>
  </w:style>
  <w:style w:type="character" w:customStyle="1" w:styleId="42">
    <w:name w:val="font01"/>
    <w:basedOn w:val="23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43">
    <w:name w:val="正文文本首行缩进 字符"/>
    <w:basedOn w:val="35"/>
    <w:link w:val="20"/>
    <w:semiHidden/>
    <w:qFormat/>
    <w:uiPriority w:val="99"/>
    <w:rPr>
      <w:rFonts w:ascii="Calibri" w:hAnsi="Calibri" w:eastAsia="宋体" w:cs="Times New Roman"/>
      <w:color w:val="333333"/>
      <w:kern w:val="2"/>
      <w:sz w:val="22"/>
      <w:szCs w:val="22"/>
    </w:rPr>
  </w:style>
  <w:style w:type="character" w:customStyle="1" w:styleId="44">
    <w:name w:val="副标题 字符"/>
    <w:link w:val="16"/>
    <w:qFormat/>
    <w:uiPriority w:val="11"/>
    <w:rPr>
      <w:b/>
      <w:bCs/>
      <w:color w:val="5C5C5C"/>
      <w:kern w:val="2"/>
      <w:sz w:val="36"/>
      <w:szCs w:val="36"/>
    </w:rPr>
  </w:style>
  <w:style w:type="paragraph" w:customStyle="1" w:styleId="45">
    <w:name w:val="Table Text"/>
    <w:basedOn w:val="1"/>
    <w:semiHidden/>
    <w:qFormat/>
    <w:uiPriority w:val="0"/>
    <w:rPr>
      <w:rFonts w:ascii="宋体" w:hAnsi="宋体" w:eastAsia="宋体" w:cs="宋体"/>
      <w:sz w:val="15"/>
      <w:szCs w:val="15"/>
      <w:lang w:eastAsia="en-US"/>
    </w:rPr>
  </w:style>
  <w:style w:type="table" w:customStyle="1" w:styleId="46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47">
    <w:name w:val="标题 字符"/>
    <w:basedOn w:val="23"/>
    <w:link w:val="19"/>
    <w:qFormat/>
    <w:uiPriority w:val="9"/>
    <w:rPr>
      <w:b/>
      <w:bCs/>
      <w:color w:val="1A1A1A"/>
      <w:kern w:val="2"/>
      <w:sz w:val="48"/>
      <w:szCs w:val="48"/>
    </w:rPr>
  </w:style>
  <w:style w:type="paragraph" w:customStyle="1" w:styleId="48">
    <w:name w:val="图名表名1"/>
    <w:basedOn w:val="1"/>
    <w:qFormat/>
    <w:uiPriority w:val="0"/>
    <w:pPr>
      <w:snapToGrid/>
      <w:spacing w:before="0" w:after="0" w:line="360" w:lineRule="auto"/>
      <w:jc w:val="center"/>
    </w:pPr>
    <w:rPr>
      <w:rFonts w:hint="eastAsia" w:ascii="Calibri" w:hAnsi="Calibri" w:eastAsia="仿宋" w:cs="Times New Roman"/>
      <w:b/>
      <w:color w:val="auto"/>
      <w:sz w:val="21"/>
      <w:szCs w:val="21"/>
    </w:rPr>
  </w:style>
  <w:style w:type="table" w:customStyle="1" w:styleId="49">
    <w:name w:val="网格型2"/>
    <w:basedOn w:val="21"/>
    <w:qFormat/>
    <w:uiPriority w:val="99"/>
    <w:rPr>
      <w:rFonts w:ascii="等线" w:hAnsi="等线" w:eastAsia="等线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50">
    <w:name w:val="WPSOffice手动目录 1"/>
    <w:qFormat/>
    <w:uiPriority w:val="0"/>
    <w:pPr>
      <w:spacing w:after="160" w:line="278" w:lineRule="auto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51">
    <w:name w:val="标题 5 字符"/>
    <w:basedOn w:val="23"/>
    <w:link w:val="6"/>
    <w:semiHidden/>
    <w:qFormat/>
    <w:uiPriority w:val="9"/>
    <w:rPr>
      <w:b/>
      <w:bCs/>
      <w:color w:val="333333"/>
      <w:kern w:val="2"/>
      <w:sz w:val="28"/>
      <w:szCs w:val="28"/>
    </w:rPr>
  </w:style>
  <w:style w:type="character" w:customStyle="1" w:styleId="52">
    <w:name w:val="标准正文！ Char"/>
    <w:link w:val="53"/>
    <w:qFormat/>
    <w:locked/>
    <w:uiPriority w:val="0"/>
    <w:rPr>
      <w:rFonts w:ascii="Calibri" w:hAnsi="Calibri" w:eastAsia="仿宋" w:cs="Calibri"/>
      <w:kern w:val="2"/>
      <w:sz w:val="24"/>
      <w:szCs w:val="22"/>
    </w:rPr>
  </w:style>
  <w:style w:type="paragraph" w:customStyle="1" w:styleId="53">
    <w:name w:val="标准正文！"/>
    <w:basedOn w:val="1"/>
    <w:link w:val="52"/>
    <w:qFormat/>
    <w:uiPriority w:val="0"/>
    <w:pPr>
      <w:snapToGrid/>
      <w:spacing w:before="0" w:after="0" w:line="360" w:lineRule="auto"/>
      <w:ind w:firstLine="420" w:firstLineChars="200"/>
      <w:jc w:val="both"/>
    </w:pPr>
    <w:rPr>
      <w:rFonts w:ascii="Calibri" w:hAnsi="Calibri" w:eastAsia="仿宋" w:cs="Calibri"/>
      <w:color w:val="auto"/>
      <w:sz w:val="24"/>
    </w:rPr>
  </w:style>
  <w:style w:type="paragraph" w:customStyle="1" w:styleId="54">
    <w:name w:val="表格内字体"/>
    <w:basedOn w:val="1"/>
    <w:qFormat/>
    <w:uiPriority w:val="0"/>
    <w:pPr>
      <w:snapToGrid/>
      <w:spacing w:before="0" w:after="0" w:line="320" w:lineRule="exact"/>
      <w:jc w:val="center"/>
    </w:pPr>
    <w:rPr>
      <w:rFonts w:ascii="宋体" w:hAnsi="宋体" w:eastAsia="仿宋" w:cs="宋体"/>
      <w:color w:val="000000"/>
      <w:kern w:val="0"/>
      <w:sz w:val="24"/>
      <w:szCs w:val="20"/>
    </w:rPr>
  </w:style>
  <w:style w:type="paragraph" w:customStyle="1" w:styleId="55">
    <w:name w:val="表格内部样式"/>
    <w:basedOn w:val="1"/>
    <w:link w:val="56"/>
    <w:qFormat/>
    <w:uiPriority w:val="0"/>
    <w:pPr>
      <w:spacing w:before="0" w:after="0" w:line="240" w:lineRule="auto"/>
      <w:jc w:val="center"/>
    </w:pPr>
    <w:rPr>
      <w:rFonts w:ascii="Calibri" w:hAnsi="Calibri" w:eastAsia="宋体"/>
      <w:color w:val="auto"/>
      <w:sz w:val="21"/>
      <w:szCs w:val="24"/>
    </w:rPr>
  </w:style>
  <w:style w:type="character" w:customStyle="1" w:styleId="56">
    <w:name w:val="表格内部样式 Char"/>
    <w:link w:val="55"/>
    <w:qFormat/>
    <w:uiPriority w:val="0"/>
    <w:rPr>
      <w:rFonts w:ascii="Calibri" w:hAnsi="Calibri" w:eastAsia="宋体"/>
      <w:kern w:val="2"/>
      <w:sz w:val="21"/>
      <w:szCs w:val="24"/>
    </w:rPr>
  </w:style>
  <w:style w:type="paragraph" w:customStyle="1" w:styleId="57">
    <w:name w:val="样式1"/>
    <w:basedOn w:val="1"/>
    <w:link w:val="60"/>
    <w:qFormat/>
    <w:uiPriority w:val="0"/>
    <w:pPr>
      <w:snapToGrid/>
      <w:spacing w:before="0" w:after="0" w:line="480" w:lineRule="exact"/>
      <w:ind w:firstLine="480" w:firstLineChars="200"/>
      <w:jc w:val="both"/>
    </w:pPr>
    <w:rPr>
      <w:rFonts w:ascii="Calibri" w:hAnsi="Calibri" w:eastAsia="仿宋"/>
      <w:color w:val="auto"/>
      <w:sz w:val="24"/>
    </w:rPr>
  </w:style>
  <w:style w:type="paragraph" w:customStyle="1" w:styleId="58">
    <w:name w:val="样式4"/>
    <w:basedOn w:val="1"/>
    <w:link w:val="59"/>
    <w:qFormat/>
    <w:uiPriority w:val="0"/>
    <w:pPr>
      <w:tabs>
        <w:tab w:val="left" w:pos="0"/>
      </w:tabs>
      <w:snapToGrid/>
      <w:spacing w:before="0" w:after="0" w:line="480" w:lineRule="exact"/>
      <w:jc w:val="both"/>
    </w:pPr>
    <w:rPr>
      <w:rFonts w:ascii="Calibri" w:hAnsi="Calibri" w:eastAsia="仿宋"/>
      <w:color w:val="auto"/>
      <w:sz w:val="24"/>
    </w:rPr>
  </w:style>
  <w:style w:type="character" w:customStyle="1" w:styleId="59">
    <w:name w:val="样式4 Char"/>
    <w:link w:val="58"/>
    <w:qFormat/>
    <w:uiPriority w:val="0"/>
    <w:rPr>
      <w:rFonts w:ascii="Calibri" w:hAnsi="Calibri" w:eastAsia="仿宋"/>
      <w:kern w:val="2"/>
      <w:sz w:val="24"/>
      <w:szCs w:val="22"/>
    </w:rPr>
  </w:style>
  <w:style w:type="character" w:customStyle="1" w:styleId="60">
    <w:name w:val="样式1 Char"/>
    <w:link w:val="57"/>
    <w:qFormat/>
    <w:uiPriority w:val="0"/>
    <w:rPr>
      <w:rFonts w:ascii="Calibri" w:hAnsi="Calibri" w:eastAsia="仿宋"/>
      <w:kern w:val="2"/>
      <w:sz w:val="24"/>
      <w:szCs w:val="22"/>
    </w:rPr>
  </w:style>
  <w:style w:type="table" w:customStyle="1" w:styleId="61">
    <w:name w:val="网格型3"/>
    <w:basedOn w:val="21"/>
    <w:qFormat/>
    <w:uiPriority w:val="0"/>
    <w:pPr>
      <w:widowControl w:val="0"/>
      <w:jc w:val="both"/>
    </w:pPr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62">
    <w:name w:val="网格型4"/>
    <w:basedOn w:val="21"/>
    <w:qFormat/>
    <w:uiPriority w:val="0"/>
    <w:pPr>
      <w:widowControl w:val="0"/>
      <w:jc w:val="both"/>
    </w:pPr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63">
    <w:name w:val="图名表名"/>
    <w:basedOn w:val="1"/>
    <w:qFormat/>
    <w:uiPriority w:val="0"/>
    <w:pPr>
      <w:snapToGrid/>
      <w:spacing w:before="0" w:after="0" w:line="360" w:lineRule="auto"/>
      <w:jc w:val="center"/>
    </w:pPr>
    <w:rPr>
      <w:rFonts w:ascii="Calibri" w:hAnsi="Calibri" w:eastAsia="仿宋"/>
      <w:b/>
      <w:color w:val="auto"/>
      <w:sz w:val="20"/>
      <w:szCs w:val="23"/>
    </w:rPr>
  </w:style>
  <w:style w:type="paragraph" w:customStyle="1" w:styleId="64">
    <w:name w:val="Revision"/>
    <w:hidden/>
    <w:unhideWhenUsed/>
    <w:qFormat/>
    <w:uiPriority w:val="99"/>
    <w:pPr>
      <w:spacing w:after="0" w:line="240" w:lineRule="auto"/>
    </w:pPr>
    <w:rPr>
      <w:rFonts w:ascii="minorHAnsi" w:hAnsi="minorHAnsi" w:eastAsiaTheme="minorEastAsia" w:cstheme="minorBidi"/>
      <w:color w:val="333333"/>
      <w:kern w:val="2"/>
      <w:sz w:val="2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1970</Words>
  <Characters>2129</Characters>
  <Lines>304</Lines>
  <Paragraphs>409</Paragraphs>
  <TotalTime>67</TotalTime>
  <ScaleCrop>false</ScaleCrop>
  <LinksUpToDate>false</LinksUpToDate>
  <CharactersWithSpaces>3690</CharactersWithSpaces>
  <Application>WPS Office_11.8.2.10505_F1E327BC-269C-435d-A152-05C5408002CA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2025-05-14T11:38:00Z</dcterms:created>
  <dc:creator>Administrator</dc:creator>
  <cp:lastModifiedBy>刘玛兰</cp:lastModifiedBy>
  <cp:lastPrinted>2025-05-14T11:40:00Z</cp:lastPrinted>
  <dcterms:modified xsi:type="dcterms:W3CDTF">2025-05-15T16:54:59Z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2052-11.8.2.10505</vt:lpwstr>
  </property>
  <property fmtid="{D5CDD505-2E9C-101B-9397-08002B2CF9AE}" pid="3" name="ICV">
    <vt:lpwstr>7E06181A8FB734A11EAA2568D432B060_43</vt:lpwstr>
  </property>
</Properties>
</file>