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default" w:ascii="仿宋_GB2312" w:hAnsi="宋体" w:eastAsia="黑体" w:cs="仿宋_GB2312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  <w:t>广州市林业和园林局工程建设项目招标文件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eastAsia="zh-CN"/>
        </w:rPr>
        <w:t>审查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eastAsia="zh-CN" w:bidi="ar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eastAsia="zh-CN" w:bidi="ar"/>
        </w:rPr>
        <w:t>（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bidi="ar"/>
        </w:rPr>
        <w:t>适用于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eastAsia="zh-CN" w:bidi="ar"/>
        </w:rPr>
        <w:t>依法必须招标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bidi="ar"/>
        </w:rPr>
        <w:t>的林业和园林绿化工程建设项目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eastAsia="zh-CN" w:bidi="ar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3179"/>
        <w:gridCol w:w="2299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794" w:type="dxa"/>
            <w:gridSpan w:val="3"/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本次招标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工程名称</w:t>
            </w:r>
          </w:p>
        </w:tc>
        <w:tc>
          <w:tcPr>
            <w:tcW w:w="7794" w:type="dxa"/>
            <w:gridSpan w:val="3"/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招标人</w:t>
            </w:r>
          </w:p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（盖章）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经办人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及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招标代理机构（盖章）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经办人及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招标代理机构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选取日期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招标代理机构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选取方式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招标类别</w:t>
            </w:r>
          </w:p>
        </w:tc>
        <w:tc>
          <w:tcPr>
            <w:tcW w:w="7794" w:type="dxa"/>
            <w:gridSpan w:val="3"/>
            <w:noWrap w:val="0"/>
            <w:vAlign w:val="center"/>
          </w:tcPr>
          <w:p>
            <w:pP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勘察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</w:t>
            </w: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设计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</w:t>
            </w: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监理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</w:t>
            </w: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施工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</w:t>
            </w: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设备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</w:t>
            </w: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材料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</w:t>
            </w: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招标方式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公开招标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</w:t>
            </w: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邀请招标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招标组织形式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自行组织招标</w:t>
            </w:r>
          </w:p>
          <w:p>
            <w:pPr>
              <w:spacing w:line="360" w:lineRule="exact"/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</w:pP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委托招标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资金来源</w:t>
            </w:r>
          </w:p>
        </w:tc>
        <w:tc>
          <w:tcPr>
            <w:tcW w:w="779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财政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</w:t>
            </w: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自筹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</w:t>
            </w:r>
            <w: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  <w:t>□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项目分标段情况</w:t>
            </w:r>
          </w:p>
        </w:tc>
        <w:tc>
          <w:tcPr>
            <w:tcW w:w="7794" w:type="dxa"/>
            <w:gridSpan w:val="3"/>
            <w:noWrap w:val="0"/>
            <w:vAlign w:val="center"/>
          </w:tcPr>
          <w:p>
            <w:pPr>
              <w:rPr>
                <w:rFonts w:eastAsia="仿宋_GB2312"/>
                <w:color w:val="auto"/>
                <w:sz w:val="44"/>
                <w:szCs w:val="44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本项目共分</w:t>
            </w:r>
            <w:r>
              <w:rPr>
                <w:rFonts w:eastAsia="仿宋_GB2312"/>
                <w:color w:val="auto"/>
                <w:sz w:val="24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个标段，已完成</w:t>
            </w:r>
            <w:r>
              <w:rPr>
                <w:rFonts w:eastAsia="仿宋_GB2312"/>
                <w:color w:val="auto"/>
                <w:sz w:val="24"/>
                <w:highlight w:val="none"/>
                <w:u w:val="single"/>
                <w:lang w:bidi="ar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个标段。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6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highlight w:val="none"/>
              </w:rPr>
              <w:t>本次招标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highlight w:val="none"/>
              </w:rPr>
              <w:t>内容、规模</w:t>
            </w:r>
          </w:p>
        </w:tc>
        <w:tc>
          <w:tcPr>
            <w:tcW w:w="3179" w:type="dxa"/>
            <w:vMerge w:val="restart"/>
            <w:noWrap w:val="0"/>
            <w:vAlign w:val="center"/>
          </w:tcPr>
          <w:p>
            <w:pPr>
              <w:widowControl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概算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/预算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总投资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179" w:type="dxa"/>
            <w:vMerge w:val="continue"/>
            <w:noWrap w:val="0"/>
            <w:vAlign w:val="center"/>
          </w:tcPr>
          <w:p>
            <w:pPr>
              <w:widowControl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最高投标限价</w:t>
            </w:r>
          </w:p>
          <w:p>
            <w:pPr>
              <w:widowControl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投标人资质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>/</w:t>
            </w:r>
          </w:p>
          <w:p>
            <w:pPr>
              <w:jc w:val="center"/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专业要求</w:t>
            </w:r>
          </w:p>
        </w:tc>
        <w:tc>
          <w:tcPr>
            <w:tcW w:w="7794" w:type="dxa"/>
            <w:gridSpan w:val="3"/>
            <w:noWrap w:val="0"/>
            <w:vAlign w:val="center"/>
          </w:tcPr>
          <w:p>
            <w:pP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评标方法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bidi="ar"/>
              </w:rPr>
              <w:t>资格审查方式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业务处室意见</w:t>
            </w:r>
          </w:p>
        </w:tc>
        <w:tc>
          <w:tcPr>
            <w:tcW w:w="7794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ind w:firstLine="5040" w:firstLineChars="210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（盖章）</w:t>
            </w:r>
          </w:p>
          <w:p>
            <w:pPr>
              <w:widowControl/>
              <w:spacing w:line="3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招标投标管理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工作小组意见</w:t>
            </w:r>
          </w:p>
        </w:tc>
        <w:tc>
          <w:tcPr>
            <w:tcW w:w="7794" w:type="dxa"/>
            <w:gridSpan w:val="3"/>
            <w:noWrap w:val="0"/>
            <w:vAlign w:val="top"/>
          </w:tcPr>
          <w:p>
            <w:pPr>
              <w:ind w:firstLine="5080" w:firstLineChars="2117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5080" w:firstLineChars="2117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（盖章）</w:t>
            </w:r>
          </w:p>
          <w:p>
            <w:pPr>
              <w:ind w:firstLine="480" w:firstLineChars="2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                                 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年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    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月</w:t>
            </w:r>
            <w:r>
              <w:rPr>
                <w:rFonts w:eastAsia="仿宋_GB2312"/>
                <w:color w:val="auto"/>
                <w:sz w:val="24"/>
                <w:highlight w:val="none"/>
                <w:lang w:bidi="ar"/>
              </w:rPr>
              <w:t xml:space="preserve">     </w:t>
            </w:r>
            <w:r>
              <w:rPr>
                <w:rFonts w:hint="eastAsia" w:eastAsia="仿宋_GB2312" w:cs="仿宋_GB2312"/>
                <w:color w:val="auto"/>
                <w:sz w:val="24"/>
                <w:highlight w:val="none"/>
                <w:lang w:bidi="ar"/>
              </w:rPr>
              <w:t>日</w:t>
            </w:r>
          </w:p>
        </w:tc>
      </w:tr>
    </w:tbl>
    <w:p>
      <w:pPr>
        <w:spacing w:line="360" w:lineRule="exact"/>
        <w:ind w:left="183" w:leftChars="-27" w:right="-630" w:rightChars="-300" w:hanging="240" w:hangingChars="100"/>
        <w:rPr>
          <w:rFonts w:hint="eastAsia" w:ascii="仿宋_GB2312" w:eastAsia="仿宋_GB2312" w:cs="仿宋_GB2312"/>
          <w:color w:val="auto"/>
          <w:sz w:val="24"/>
          <w:highlight w:val="none"/>
          <w:lang w:bidi="ar"/>
        </w:rPr>
      </w:pPr>
      <w:r>
        <w:rPr>
          <w:rFonts w:hint="eastAsia" w:ascii="仿宋_GB2312" w:eastAsia="仿宋_GB2312" w:cs="仿宋_GB2312"/>
          <w:color w:val="auto"/>
          <w:sz w:val="24"/>
          <w:highlight w:val="none"/>
          <w:lang w:bidi="ar"/>
        </w:rPr>
        <w:t>注：1.本表适用于广州市林业和园林局</w:t>
      </w:r>
      <w:r>
        <w:rPr>
          <w:rFonts w:hint="eastAsia" w:ascii="仿宋_GB2312" w:eastAsia="仿宋_GB2312" w:cs="仿宋_GB2312"/>
          <w:color w:val="auto"/>
          <w:sz w:val="24"/>
          <w:highlight w:val="none"/>
          <w:lang w:eastAsia="zh-CN" w:bidi="ar"/>
        </w:rPr>
        <w:t>依法必须招标</w:t>
      </w:r>
      <w:r>
        <w:rPr>
          <w:rFonts w:hint="eastAsia" w:ascii="仿宋_GB2312" w:eastAsia="仿宋_GB2312" w:cs="仿宋_GB2312"/>
          <w:color w:val="auto"/>
          <w:sz w:val="24"/>
          <w:highlight w:val="none"/>
          <w:lang w:bidi="ar"/>
        </w:rPr>
        <w:t>的林业和园林绿化工程建设项目招标文件审查。</w:t>
      </w:r>
    </w:p>
    <w:p>
      <w:pPr>
        <w:spacing w:line="360" w:lineRule="exact"/>
        <w:ind w:right="-630" w:rightChars="-300"/>
        <w:rPr>
          <w:rFonts w:hint="eastAsia" w:ascii="仿宋_GB2312" w:eastAsia="仿宋_GB2312" w:cs="仿宋_GB2312"/>
          <w:color w:val="auto"/>
          <w:sz w:val="24"/>
          <w:highlight w:val="none"/>
          <w:lang w:bidi="ar"/>
        </w:rPr>
      </w:pPr>
      <w:r>
        <w:rPr>
          <w:rFonts w:hint="eastAsia" w:ascii="仿宋_GB2312" w:eastAsia="仿宋_GB2312" w:cs="仿宋_GB2312"/>
          <w:color w:val="auto"/>
          <w:sz w:val="24"/>
          <w:highlight w:val="none"/>
          <w:lang w:bidi="ar"/>
        </w:rPr>
        <w:t>2.应递交的资料：⑴立项批文；⑵</w:t>
      </w:r>
      <w:r>
        <w:rPr>
          <w:rFonts w:hint="eastAsia" w:ascii="仿宋_GB2312" w:eastAsia="仿宋_GB2312"/>
          <w:color w:val="auto"/>
          <w:sz w:val="24"/>
          <w:highlight w:val="none"/>
        </w:rPr>
        <w:t>资金计划批文或银行存款证明（自筹资金）</w:t>
      </w:r>
      <w:r>
        <w:rPr>
          <w:rFonts w:hint="eastAsia" w:ascii="仿宋_GB2312" w:eastAsia="仿宋_GB2312" w:cs="仿宋_GB2312"/>
          <w:color w:val="auto"/>
          <w:sz w:val="24"/>
          <w:highlight w:val="none"/>
          <w:lang w:bidi="ar"/>
        </w:rPr>
        <w:t>；⑶概（预）算批文及概（预）算评审报告（如有）；⑷招标公告；⑸招标文件；⑹其它。</w:t>
      </w:r>
    </w:p>
    <w:p>
      <w:pPr>
        <w:spacing w:line="360" w:lineRule="exact"/>
        <w:ind w:left="-540" w:leftChars="-257" w:right="-855" w:rightChars="-407"/>
        <w:rPr>
          <w:rFonts w:hint="eastAsia" w:ascii="仿宋_GB2312" w:eastAsia="仿宋_GB2312" w:cs="仿宋_GB2312"/>
          <w:color w:val="auto"/>
          <w:sz w:val="24"/>
          <w:highlight w:val="none"/>
          <w:lang w:bidi="ar"/>
        </w:rPr>
      </w:pPr>
      <w:r>
        <w:rPr>
          <w:rFonts w:hint="eastAsia" w:ascii="仿宋_GB2312" w:eastAsia="仿宋_GB2312" w:cs="仿宋_GB2312"/>
          <w:color w:val="auto"/>
          <w:sz w:val="24"/>
          <w:highlight w:val="none"/>
          <w:lang w:bidi="ar"/>
        </w:rPr>
        <w:t xml:space="preserve">    3.本表一式四份，局业务处室、招标投标管理工作小组、招标人、招标代理机构各一份。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</w:rPr>
        <w:t>广州市林业和园林局工程建设项目招标存查表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eastAsia="zh-CN" w:bidi="ar"/>
        </w:rPr>
        <w:t>（适用于依法必须招标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bidi="ar"/>
        </w:rPr>
        <w:t>的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eastAsia="zh-CN" w:bidi="ar"/>
        </w:rPr>
        <w:t>非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bidi="ar"/>
        </w:rPr>
        <w:t>林业和园林绿化工程建设项目</w:t>
      </w: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eastAsia="zh-CN" w:bidi="ar"/>
        </w:rPr>
        <w:t>）</w:t>
      </w:r>
    </w:p>
    <w:tbl>
      <w:tblPr>
        <w:tblStyle w:val="7"/>
        <w:tblpPr w:leftFromText="180" w:rightFromText="180" w:vertAnchor="text" w:horzAnchor="page" w:tblpX="1603" w:tblpY="23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095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本次招标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工程名称</w:t>
            </w:r>
          </w:p>
        </w:tc>
        <w:tc>
          <w:tcPr>
            <w:tcW w:w="7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招标人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（盖章）</w:t>
            </w:r>
          </w:p>
        </w:tc>
        <w:tc>
          <w:tcPr>
            <w:tcW w:w="3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经办人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招标代理机构（盖章）</w:t>
            </w:r>
          </w:p>
        </w:tc>
        <w:tc>
          <w:tcPr>
            <w:tcW w:w="3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经办人及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招标代理机构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选取日期</w:t>
            </w:r>
          </w:p>
        </w:tc>
        <w:tc>
          <w:tcPr>
            <w:tcW w:w="3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招标代理机构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选取方式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74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概算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309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最高投标限价（万元）</w:t>
            </w:r>
          </w:p>
        </w:tc>
        <w:tc>
          <w:tcPr>
            <w:tcW w:w="252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□自筹 □其他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招标组织形式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□自行组织招标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□委托招标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招标类别</w:t>
            </w:r>
          </w:p>
        </w:tc>
        <w:tc>
          <w:tcPr>
            <w:tcW w:w="7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□勘察 □设计 □监理 □施工 □设备 □材料 □其他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投标人资质/专业要求</w:t>
            </w:r>
          </w:p>
        </w:tc>
        <w:tc>
          <w:tcPr>
            <w:tcW w:w="7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业务处室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240" w:firstLineChars="1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：1.本表适用于非广州市林业和园林局招标监管的工程建设项目，招标前报局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存查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2.应递交的资料：⑴立项批文；⑵资金计划批文；⑶概算批复（如有）；⑷其他。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3.本表及资料一式二份，招标人、局业务处室各一份，资料可采用复印件。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pgSz w:w="11906" w:h="16838"/>
          <w:pgMar w:top="1020" w:right="1474" w:bottom="1020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宋体" w:hAnsi="宋体" w:eastAsiaTheme="minorEastAsia"/>
          <w:b/>
          <w:bCs w:val="0"/>
          <w:color w:val="auto"/>
          <w:spacing w:val="4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pacing w:val="4"/>
          <w:kern w:val="0"/>
          <w:sz w:val="30"/>
          <w:szCs w:val="30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/>
          <w:b/>
          <w:bCs w:val="0"/>
          <w:color w:val="auto"/>
          <w:spacing w:val="4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pacing w:val="4"/>
          <w:kern w:val="0"/>
          <w:sz w:val="30"/>
          <w:szCs w:val="30"/>
          <w:highlight w:val="none"/>
        </w:rPr>
        <w:t>广州市林业和园林局工程建设项目招标代理机构评价考核表（招标人）</w:t>
      </w:r>
    </w:p>
    <w:p>
      <w:pPr>
        <w:jc w:val="left"/>
        <w:rPr>
          <w:rFonts w:hint="eastAsia" w:ascii="宋体" w:hAnsi="宋体"/>
          <w:b/>
          <w:bCs w:val="0"/>
          <w:color w:val="auto"/>
          <w:spacing w:val="4"/>
          <w:kern w:val="0"/>
          <w:szCs w:val="21"/>
          <w:highlight w:val="none"/>
        </w:rPr>
      </w:pPr>
      <w:r>
        <w:rPr>
          <w:rFonts w:hint="eastAsia" w:ascii="宋体" w:hAnsi="宋体"/>
          <w:b/>
          <w:bCs w:val="0"/>
          <w:color w:val="auto"/>
          <w:spacing w:val="4"/>
          <w:kern w:val="0"/>
          <w:szCs w:val="21"/>
          <w:highlight w:val="none"/>
        </w:rPr>
        <w:t>项目名称：                                                          招标代理机构：</w:t>
      </w:r>
    </w:p>
    <w:tbl>
      <w:tblPr>
        <w:tblStyle w:val="7"/>
        <w:tblW w:w="14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508"/>
        <w:gridCol w:w="7171"/>
        <w:gridCol w:w="1713"/>
        <w:gridCol w:w="118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  <w:t>考核项目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  <w:t>考核标准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  <w:t>扣分</w:t>
            </w:r>
            <w:r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规则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  <w:t>扣分分值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pacing w:val="4"/>
                <w:kern w:val="0"/>
                <w:szCs w:val="21"/>
                <w:highlight w:val="none"/>
              </w:rPr>
              <w:t>扣分情况说明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服务质量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招标代理中途无正当理由更换项目负责人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或经办人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。</w:t>
            </w:r>
            <w:bookmarkStart w:id="0" w:name="_GoBack"/>
            <w:bookmarkEnd w:id="0"/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招标代理人员无法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及时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联系，或跟踪项目招标进度不主动、不及时。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1-3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未按招标人要求收集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查找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招标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相关资料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1-3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未按招标人要求编制招标进度计划。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未按招标人要求编制招标文件内容。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2-6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招标专业知识薄弱、流程不熟悉，或在招标工作中出现疏漏。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网上发布的招标公告或招标文件与经审查的文件不一致。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故意拖延进度，导致招标工作延缓。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招标操作流程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未按规定完整登记招标项目信息（含未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标注固定资产投资项目代码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）。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未按规定公开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招标投标信息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扣1-3分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未及时开展评标情况复核，未及时发现评分异常或错误情况。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1-3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未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按规定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办理中标通知书。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未协助招标人签订合同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或未及时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提醒招标人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按规定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完成合同在线签订工作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招标投标资料归档不及时、不齐全。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扣1-3分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因招标代理工作失误，</w:t>
            </w:r>
            <w:r>
              <w:rPr>
                <w:rFonts w:hint="eastAsia" w:ascii="宋体" w:hAnsi="宋体" w:cs="宋体"/>
                <w:color w:val="auto"/>
                <w:spacing w:val="4"/>
                <w:kern w:val="0"/>
                <w:szCs w:val="21"/>
                <w:highlight w:val="none"/>
              </w:rPr>
              <w:t>导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致项目招标失败或重新招标。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扣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71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在招标代理工作过程因主观因素出现影响项目招标推进的问题。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扣1-3分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4"/>
                <w:kern w:val="0"/>
                <w:szCs w:val="21"/>
                <w:highlight w:val="none"/>
              </w:rPr>
              <w:t>最终得分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pacing w:val="4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（总分</w:t>
            </w:r>
            <w:r>
              <w:rPr>
                <w:rFonts w:hint="eastAsia" w:ascii="宋体" w:hAnsi="宋体"/>
                <w:b/>
                <w:color w:val="auto"/>
                <w:spacing w:val="4"/>
                <w:kern w:val="0"/>
                <w:szCs w:val="21"/>
                <w:highlight w:val="none"/>
                <w:lang w:val="en-US" w:eastAsia="zh-CN"/>
              </w:rPr>
              <w:t>12分</w:t>
            </w:r>
            <w:r>
              <w:rPr>
                <w:rFonts w:hint="eastAsia" w:ascii="宋体" w:hAnsi="宋体"/>
                <w:b/>
                <w:color w:val="auto"/>
                <w:spacing w:val="4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22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4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/>
          <w:spacing w:val="4"/>
          <w:kern w:val="0"/>
          <w:szCs w:val="21"/>
          <w:highlight w:val="none"/>
        </w:rPr>
      </w:pPr>
      <w:r>
        <w:rPr>
          <w:rFonts w:hint="eastAsia"/>
          <w:szCs w:val="21"/>
          <w:highlight w:val="none"/>
        </w:rPr>
        <w:t>注</w:t>
      </w:r>
      <w:r>
        <w:rPr>
          <w:rFonts w:hint="eastAsia" w:ascii="宋体" w:hAnsi="宋体"/>
          <w:spacing w:val="4"/>
          <w:kern w:val="0"/>
          <w:szCs w:val="21"/>
          <w:highlight w:val="none"/>
        </w:rPr>
        <w:t>：1.本表一式三份，由招标人填写并盖章，局</w:t>
      </w:r>
      <w:r>
        <w:rPr>
          <w:rFonts w:hint="eastAsia" w:ascii="宋体" w:hAnsi="宋体"/>
          <w:spacing w:val="4"/>
          <w:kern w:val="0"/>
          <w:szCs w:val="21"/>
          <w:highlight w:val="none"/>
          <w:lang w:eastAsia="zh-CN"/>
        </w:rPr>
        <w:t>园林工程处</w:t>
      </w:r>
      <w:r>
        <w:rPr>
          <w:rFonts w:hint="eastAsia" w:ascii="宋体" w:hAnsi="宋体"/>
          <w:spacing w:val="4"/>
          <w:kern w:val="0"/>
          <w:szCs w:val="21"/>
          <w:highlight w:val="none"/>
        </w:rPr>
        <w:t>、招标人和招标代理机构各一份。</w:t>
      </w:r>
    </w:p>
    <w:p>
      <w:pPr>
        <w:ind w:firstLine="452"/>
        <w:rPr>
          <w:highlight w:val="none"/>
        </w:rPr>
      </w:pPr>
      <w:r>
        <w:rPr>
          <w:rFonts w:hint="eastAsia" w:ascii="宋体" w:hAnsi="宋体"/>
          <w:spacing w:val="4"/>
          <w:kern w:val="0"/>
          <w:szCs w:val="21"/>
          <w:highlight w:val="none"/>
        </w:rPr>
        <w:t>2.</w:t>
      </w:r>
      <w:r>
        <w:rPr>
          <w:rFonts w:hint="eastAsia" w:ascii="宋体" w:hAnsi="宋体"/>
          <w:spacing w:val="4"/>
          <w:kern w:val="0"/>
          <w:szCs w:val="21"/>
          <w:highlight w:val="none"/>
          <w:lang w:eastAsia="zh-CN"/>
        </w:rPr>
        <w:t>本表应在</w:t>
      </w:r>
      <w:r>
        <w:rPr>
          <w:rFonts w:hint="eastAsia" w:ascii="宋体" w:hAnsi="宋体"/>
          <w:spacing w:val="4"/>
          <w:kern w:val="0"/>
          <w:szCs w:val="21"/>
          <w:highlight w:val="none"/>
        </w:rPr>
        <w:t>自确定中标人之日起15日内，</w:t>
      </w:r>
      <w:r>
        <w:rPr>
          <w:rFonts w:hint="eastAsia" w:ascii="宋体" w:hAnsi="宋体"/>
          <w:spacing w:val="4"/>
          <w:kern w:val="0"/>
          <w:szCs w:val="21"/>
          <w:highlight w:val="none"/>
          <w:lang w:eastAsia="zh-CN"/>
        </w:rPr>
        <w:t>与</w:t>
      </w:r>
      <w:r>
        <w:rPr>
          <w:rFonts w:hint="eastAsia" w:ascii="宋体" w:hAnsi="宋体"/>
          <w:spacing w:val="4"/>
          <w:kern w:val="0"/>
          <w:szCs w:val="21"/>
          <w:highlight w:val="none"/>
        </w:rPr>
        <w:t>招标投标情况书面报告同步提交，否则招标人评价得分按0分</w:t>
      </w:r>
      <w:r>
        <w:rPr>
          <w:rFonts w:hint="eastAsia" w:ascii="宋体" w:hAnsi="宋体"/>
          <w:spacing w:val="4"/>
          <w:kern w:val="0"/>
          <w:szCs w:val="21"/>
          <w:highlight w:val="none"/>
          <w:lang w:eastAsia="zh-CN"/>
        </w:rPr>
        <w:t>计取</w:t>
      </w:r>
      <w:r>
        <w:rPr>
          <w:rFonts w:hint="eastAsia" w:ascii="宋体" w:hAnsi="宋体"/>
          <w:spacing w:val="4"/>
          <w:kern w:val="0"/>
          <w:szCs w:val="21"/>
          <w:highlight w:val="none"/>
        </w:rPr>
        <w:t>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64A1C"/>
    <w:rsid w:val="5DF96016"/>
    <w:rsid w:val="6EFD88D8"/>
    <w:rsid w:val="6F777001"/>
    <w:rsid w:val="7DFF0EDE"/>
    <w:rsid w:val="B6E1179A"/>
    <w:rsid w:val="FAFBF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link w:val="9"/>
    <w:qFormat/>
    <w:uiPriority w:val="0"/>
    <w:pPr>
      <w:widowControl/>
      <w:spacing w:before="360" w:beforeAutospacing="1" w:after="360" w:afterAutospacing="1"/>
      <w:jc w:val="center"/>
      <w:outlineLvl w:val="0"/>
    </w:pPr>
    <w:rPr>
      <w:rFonts w:ascii="宋体" w:hAnsi="宋体" w:eastAsia="方正小标宋简体" w:cs="宋体"/>
      <w:b w:val="0"/>
      <w:kern w:val="36"/>
      <w:sz w:val="36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宋体" w:hAnsi="宋体" w:eastAsia="方正小标宋简体" w:cs="宋体"/>
      <w:kern w:val="36"/>
      <w:sz w:val="36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2023-04-19T18:14:00Z</dcterms:created>
  <dc:creator>86135</dc:creator>
  <cp:lastModifiedBy>郑伊丹</cp:lastModifiedBy>
  <dcterms:modified xsi:type="dcterms:W3CDTF">2025-05-14T15:03:11Z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FFD3DCC3B0314CC09CE583BA5802F0DD_12</vt:lpwstr>
  </property>
  <property fmtid="{D5CDD505-2E9C-101B-9397-08002B2CF9AE}" pid="4" name="KSOTemplateDocerSaveRecord">
    <vt:lpwstr>eyJoZGlkIjoiYzZkNzQ4ZWFiZmQ4NTRhOWRkZTk3YTMwMjlmMmZhYmUiLCJ1c2VySWQiOiI5NjE5NDU5MDIifQ==</vt:lpwstr>
  </property>
</Properties>
</file>