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ascii="Times New Roman" w:hAnsi="Times New Roman" w:eastAsia="仿宋_GB2312" w:cs="Times New Roman"/>
          <w:sz w:val="32"/>
          <w:szCs w:val="32"/>
        </w:rPr>
      </w:pPr>
      <w:bookmarkStart w:id="11" w:name="_GoBack"/>
      <w:bookmarkEnd w:id="11"/>
      <w:r>
        <w:rPr>
          <w:rFonts w:ascii="Times New Roman" w:hAnsi="Times New Roman" w:eastAsia="仿宋_GB2312" w:cs="Times New Roman"/>
          <w:sz w:val="32"/>
        </w:rPr>
        <mc:AlternateContent>
          <mc:Choice Requires="wps">
            <w:drawing>
              <wp:anchor distT="0" distB="0" distL="114300" distR="114300" simplePos="0" relativeHeight="251659264" behindDoc="0" locked="0" layoutInCell="1" allowOverlap="1">
                <wp:simplePos x="0" y="0"/>
                <wp:positionH relativeFrom="column">
                  <wp:posOffset>-539750</wp:posOffset>
                </wp:positionH>
                <wp:positionV relativeFrom="paragraph">
                  <wp:posOffset>-584835</wp:posOffset>
                </wp:positionV>
                <wp:extent cx="1181100" cy="571500"/>
                <wp:effectExtent l="0" t="0" r="0" b="0"/>
                <wp:wrapNone/>
                <wp:docPr id="1" name="矩形 1"/>
                <wp:cNvGraphicFramePr/>
                <a:graphic xmlns:a="http://schemas.openxmlformats.org/drawingml/2006/main">
                  <a:graphicData uri="http://schemas.microsoft.com/office/word/2010/wordprocessingShape">
                    <wps:wsp>
                      <wps:cNvSpPr/>
                      <wps:spPr>
                        <a:xfrm>
                          <a:off x="468630" y="747395"/>
                          <a:ext cx="11811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ascii="黑体" w:hAnsi="黑体" w:eastAsia="黑体" w:cs="黑体"/>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pt;margin-top:-46.05pt;height:45pt;width:93pt;z-index:251659264;v-text-anchor:middle;mso-width-relative:page;mso-height-relative:page;" fillcolor="#FFFFFF [3201]" filled="t" stroked="f" coordsize="21600,21600" o:gfxdata="UEsDBAoAAAAAAIdO4kAAAAAAAAAAAAAAAAAEAAAAZHJzL1BLAwQUAAAACACHTuJA9ka7qtQAAAAK&#10;AQAADwAAAGRycy9kb3ducmV2LnhtbE2PQU/DMAyF70j8h8hI3LakBaZRmk4CCXFmm3Z2G6+t1jhV&#10;k23l3+Od4GY/Pz1/r9zMflAXmmIf2EK2NKCIm+B6bi3sd5+LNaiYkB0OgcnCD0XYVPd3JRYuXPmb&#10;LtvUKgnhWKCFLqWx0Do2HXmMyzASy+0YJo9J1qnVbsKrhPtB58astMee5UOHI3101Jy2Z29Bpy86&#10;7eb8wE/mGev36bg/jNrax4fMvIFKNKc/M9zwBR0qYarDmV1Ug4XF+kW6JBle8wzUzWEyUWpRRNBV&#10;qf9XqH4BUEsDBBQAAAAIAIdO4kCCJ23ibQIAAMkEAAAOAAAAZHJzL2Uyb0RvYy54bWytVEtu2zAQ&#10;3RfoHQjuG1mOHSdG5MCI4aJA0ARIi65pirII8FeStpxepkB3PUSPU/QafaSUT9MusqgW1Ixm8Gbm&#10;8Y3OLw5akb3wQVpT0fJoRIkw3NbSbCv68cP6zSklITJTM2WNqOidCPRi8frVeefmYmxbq2rhCUBM&#10;mHeuom2Mbl4UgbdCs3BknTAINtZrFuH6bVF71gFdq2I8Gp0UnfW185aLEPB11QfpgOhfAmibRnKx&#10;snynhYk9qheKRYwUWukCXeRum0bweN00QUSiKopJYz5RBPYmncXinM23nrlW8qEF9pIWns2kmTQo&#10;+gC1YpGRnZd/QWnJvQ22iUfc6qIfJDOCKcrRM25uW+ZEngVUB/dAevh/sPz9/sYTWUMJlBimceG/&#10;vn7/+eMbKRM3nQtzpNy6Gz94AWYa9NB4nd4YgRwqOjk5PTkGqXcVnU1mx2fTnllxiIQjXJanZTlC&#10;nCNhOiunsAFYPOI4H+JbYTVJRkU9bi4TyvZXIfap9ympbLBK1mupVHb8dnOpPNkz3PI6PwP6H2nK&#10;kK6i4+kkN8Kg3QaaQU/aYf5gtpQwtcVS8OhzbWNTBRRn81R7xULb18iwQwllMEfiqWcmWfGwOQx0&#10;bWx9B4K97ZUXHF9LQF2xEG+Yh9TACZYxXuNolEV/drAoaa3/8q/vKR8KQJSSDtJF7593zAtK1DsD&#10;bZyVkwlgY3Ym09kYjn8a2TyNmJ2+tOAN94/uspnyo7o3G2/1J+zsMlVFiBmO2j1Lg3MZ+5XC1nOx&#10;XOY06NuxeGVuHU/giURjl7toG5nvMxHVszPwB4VnRQzbmFboqZ+zHv9A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2Rruq1AAAAAoBAAAPAAAAAAAAAAEAIAAAACIAAABkcnMvZG93bnJldi54bWxQ&#10;SwECFAAUAAAACACHTuJAgidt4m0CAADJBAAADgAAAAAAAAABACAAAAAjAQAAZHJzL2Uyb0RvYy54&#10;bWxQSwUGAAAAAAYABgBZAQAAAgYAAAAA&#10;">
                <v:fill on="t" focussize="0,0"/>
                <v:stroke on="f" weight="2pt"/>
                <v:imagedata o:title=""/>
                <o:lock v:ext="edit" aspectratio="f"/>
                <v:textbox>
                  <w:txbxContent>
                    <w:p>
                      <w:pPr>
                        <w:jc w:val="center"/>
                        <w:rPr>
                          <w:rFonts w:ascii="黑体" w:hAnsi="黑体" w:eastAsia="黑体" w:cs="黑体"/>
                          <w:sz w:val="32"/>
                          <w:szCs w:val="32"/>
                        </w:rPr>
                      </w:pPr>
                    </w:p>
                  </w:txbxContent>
                </v:textbox>
              </v:rect>
            </w:pict>
          </mc:Fallback>
        </mc:AlternateContent>
      </w:r>
    </w:p>
    <w:p>
      <w:pPr>
        <w:pStyle w:val="7"/>
        <w:snapToGrid w:val="0"/>
        <w:spacing w:line="560" w:lineRule="exact"/>
        <w:jc w:val="center"/>
        <w:rPr>
          <w:rFonts w:ascii="Times New Roman" w:eastAsia="仿宋_GB2312" w:cs="Times New Roman"/>
        </w:rPr>
      </w:pPr>
    </w:p>
    <w:p>
      <w:pPr>
        <w:adjustRightInd w:val="0"/>
        <w:snapToGrid w:val="0"/>
        <w:spacing w:line="360" w:lineRule="auto"/>
        <w:jc w:val="center"/>
        <w:rPr>
          <w:rFonts w:ascii="Times New Roman" w:hAnsi="Times New Roman" w:eastAsia="仿宋_GB2312" w:cs="Times New Roman"/>
          <w:sz w:val="44"/>
          <w:szCs w:val="44"/>
        </w:rPr>
      </w:pPr>
      <w:bookmarkStart w:id="0" w:name="_Toc26448"/>
      <w:bookmarkStart w:id="1" w:name="_Toc24297"/>
      <w:bookmarkStart w:id="2" w:name="_Toc25794"/>
      <w:bookmarkStart w:id="3" w:name="_Toc132878201"/>
      <w:bookmarkStart w:id="4" w:name="_Toc23089"/>
      <w:r>
        <w:rPr>
          <w:rFonts w:ascii="Times New Roman" w:hAnsi="Times New Roman" w:eastAsia="仿宋_GB2312" w:cs="Times New Roman"/>
          <w:sz w:val="44"/>
          <w:szCs w:val="44"/>
        </w:rPr>
        <w:t>广州市</w:t>
      </w:r>
      <w:bookmarkEnd w:id="0"/>
      <w:bookmarkEnd w:id="1"/>
      <w:bookmarkEnd w:id="2"/>
      <w:bookmarkEnd w:id="3"/>
      <w:bookmarkEnd w:id="4"/>
      <w:r>
        <w:rPr>
          <w:rFonts w:ascii="Times New Roman" w:hAnsi="Times New Roman" w:eastAsia="仿宋_GB2312" w:cs="Times New Roman"/>
          <w:sz w:val="44"/>
          <w:szCs w:val="44"/>
        </w:rPr>
        <w:t>主要造林树种适应性评价与应用指引</w:t>
      </w:r>
    </w:p>
    <w:p>
      <w:pPr>
        <w:adjustRightInd w:val="0"/>
        <w:snapToGrid w:val="0"/>
        <w:spacing w:line="360" w:lineRule="auto"/>
        <w:jc w:val="center"/>
        <w:rPr>
          <w:rFonts w:ascii="Times New Roman" w:hAnsi="Times New Roman" w:eastAsia="仿宋_GB2312" w:cs="Times New Roman"/>
          <w:sz w:val="44"/>
          <w:szCs w:val="44"/>
        </w:rPr>
      </w:pPr>
      <w:r>
        <w:rPr>
          <w:rFonts w:ascii="Times New Roman" w:hAnsi="Times New Roman" w:eastAsia="仿宋_GB2312" w:cs="Times New Roman"/>
          <w:sz w:val="44"/>
          <w:szCs w:val="44"/>
        </w:rPr>
        <w:t>（试行）</w:t>
      </w:r>
    </w:p>
    <w:p>
      <w:pPr>
        <w:pStyle w:val="7"/>
        <w:rPr>
          <w:rFonts w:ascii="Times New Roman" w:eastAsia="仿宋_GB2312" w:cs="Times New Roman"/>
        </w:rPr>
      </w:pPr>
    </w:p>
    <w:p>
      <w:pPr>
        <w:pStyle w:val="7"/>
        <w:snapToGrid w:val="0"/>
        <w:spacing w:line="560" w:lineRule="exact"/>
        <w:jc w:val="center"/>
        <w:rPr>
          <w:rFonts w:ascii="Times New Roman" w:eastAsia="仿宋_GB2312" w:cs="Times New Roman"/>
        </w:rPr>
      </w:pPr>
    </w:p>
    <w:p>
      <w:pPr>
        <w:adjustRightInd w:val="0"/>
        <w:snapToGrid w:val="0"/>
        <w:spacing w:line="560" w:lineRule="exact"/>
        <w:jc w:val="center"/>
        <w:rPr>
          <w:rFonts w:ascii="Times New Roman" w:hAnsi="Times New Roman" w:eastAsia="仿宋_GB2312" w:cs="Times New Roman"/>
          <w:sz w:val="32"/>
          <w:szCs w:val="32"/>
        </w:rPr>
      </w:pPr>
    </w:p>
    <w:p>
      <w:pPr>
        <w:pStyle w:val="7"/>
        <w:jc w:val="center"/>
        <w:rPr>
          <w:rFonts w:ascii="Times New Roman" w:eastAsia="仿宋_GB2312" w:cs="Times New Roman"/>
        </w:rPr>
      </w:pPr>
    </w:p>
    <w:p>
      <w:pPr>
        <w:pStyle w:val="7"/>
        <w:jc w:val="center"/>
        <w:rPr>
          <w:rFonts w:ascii="Times New Roman" w:eastAsia="仿宋_GB2312" w:cs="Times New Roman"/>
        </w:rPr>
      </w:pPr>
    </w:p>
    <w:p>
      <w:pPr>
        <w:pStyle w:val="7"/>
        <w:jc w:val="center"/>
        <w:rPr>
          <w:rFonts w:ascii="Times New Roman" w:eastAsia="仿宋_GB2312" w:cs="Times New Roman"/>
        </w:rPr>
      </w:pPr>
    </w:p>
    <w:p>
      <w:pPr>
        <w:pStyle w:val="7"/>
        <w:jc w:val="center"/>
        <w:rPr>
          <w:rFonts w:ascii="Times New Roman" w:eastAsia="仿宋_GB2312" w:cs="Times New Roman"/>
        </w:rPr>
      </w:pPr>
    </w:p>
    <w:p>
      <w:pPr>
        <w:pStyle w:val="7"/>
        <w:jc w:val="center"/>
        <w:rPr>
          <w:rFonts w:ascii="Times New Roman" w:eastAsia="仿宋_GB2312" w:cs="Times New Roman"/>
        </w:rPr>
      </w:pPr>
    </w:p>
    <w:p>
      <w:pPr>
        <w:adjustRightInd w:val="0"/>
        <w:snapToGrid w:val="0"/>
        <w:spacing w:line="560" w:lineRule="exact"/>
        <w:jc w:val="center"/>
        <w:rPr>
          <w:rFonts w:ascii="Times New Roman" w:hAnsi="Times New Roman" w:eastAsia="仿宋_GB2312" w:cs="Times New Roman"/>
          <w:sz w:val="32"/>
          <w:szCs w:val="32"/>
        </w:rPr>
      </w:pPr>
    </w:p>
    <w:p>
      <w:pPr>
        <w:tabs>
          <w:tab w:val="left" w:pos="4820"/>
        </w:tabs>
        <w:adjustRightInd w:val="0"/>
        <w:snapToGrid w:val="0"/>
        <w:spacing w:line="560" w:lineRule="exact"/>
        <w:jc w:val="center"/>
        <w:rPr>
          <w:rFonts w:ascii="Times New Roman" w:hAnsi="Times New Roman" w:eastAsia="仿宋_GB2312" w:cs="Times New Roman"/>
          <w:sz w:val="32"/>
          <w:szCs w:val="32"/>
        </w:rPr>
      </w:pPr>
    </w:p>
    <w:p>
      <w:pPr>
        <w:adjustRightInd w:val="0"/>
        <w:snapToGrid w:val="0"/>
        <w:spacing w:line="560" w:lineRule="exact"/>
        <w:jc w:val="center"/>
        <w:rPr>
          <w:rFonts w:ascii="Times New Roman" w:hAnsi="Times New Roman" w:eastAsia="仿宋_GB2312" w:cs="Times New Roman"/>
          <w:sz w:val="32"/>
          <w:szCs w:val="32"/>
        </w:rPr>
      </w:pPr>
    </w:p>
    <w:p>
      <w:pPr>
        <w:adjustRightInd w:val="0"/>
        <w:snapToGrid w:val="0"/>
        <w:spacing w:after="156" w:afterLines="50" w:line="360" w:lineRule="auto"/>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广州市林业和园林局</w:t>
      </w:r>
    </w:p>
    <w:p>
      <w:pPr>
        <w:pStyle w:val="8"/>
        <w:adjustRightInd w:val="0"/>
        <w:snapToGrid w:val="0"/>
        <w:spacing w:after="156" w:afterLines="50" w:line="360" w:lineRule="auto"/>
        <w:ind w:firstLine="0" w:firstLineChars="0"/>
        <w:jc w:val="center"/>
        <w:rPr>
          <w:rFonts w:ascii="Times New Roman" w:hAnsi="Times New Roman" w:eastAsia="仿宋_GB2312"/>
          <w:sz w:val="32"/>
          <w:szCs w:val="32"/>
        </w:rPr>
      </w:pPr>
      <w:r>
        <w:rPr>
          <w:rFonts w:ascii="Times New Roman" w:hAnsi="Times New Roman" w:eastAsia="仿宋_GB2312"/>
          <w:sz w:val="32"/>
          <w:szCs w:val="32"/>
        </w:rPr>
        <w:t>2023年1</w:t>
      </w:r>
      <w:r>
        <w:rPr>
          <w:rFonts w:hint="eastAsia" w:ascii="Times New Roman" w:hAnsi="Times New Roman" w:eastAsia="仿宋_GB2312"/>
          <w:sz w:val="32"/>
          <w:szCs w:val="32"/>
        </w:rPr>
        <w:t>1</w:t>
      </w:r>
      <w:r>
        <w:rPr>
          <w:rFonts w:ascii="Times New Roman" w:hAnsi="Times New Roman" w:eastAsia="仿宋_GB2312"/>
          <w:sz w:val="32"/>
          <w:szCs w:val="32"/>
        </w:rPr>
        <w:t>月</w:t>
      </w:r>
    </w:p>
    <w:p>
      <w:pPr>
        <w:adjustRightInd w:val="0"/>
        <w:snapToGrid w:val="0"/>
        <w:spacing w:line="560" w:lineRule="exact"/>
        <w:rPr>
          <w:rFonts w:ascii="Times New Roman" w:hAnsi="Times New Roman" w:eastAsia="仿宋_GB2312" w:cs="Times New Roman"/>
          <w:sz w:val="32"/>
          <w:szCs w:val="32"/>
        </w:rPr>
        <w:sectPr>
          <w:footerReference r:id="rId3" w:type="default"/>
          <w:pgSz w:w="11906" w:h="16838"/>
          <w:pgMar w:top="2098" w:right="1474" w:bottom="1984" w:left="1588" w:header="851" w:footer="1400" w:gutter="0"/>
          <w:pgNumType w:start="1"/>
          <w:cols w:space="425" w:num="1"/>
          <w:titlePg/>
          <w:docGrid w:type="lines" w:linePitch="312" w:charSpace="0"/>
        </w:sectPr>
      </w:pP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一、编制目标</w:t>
      </w:r>
    </w:p>
    <w:p>
      <w:pPr>
        <w:adjustRightInd w:val="0"/>
        <w:snapToGrid w:val="0"/>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为全面落实《中共广东省委关于深入推进绿美广东生态建设的决定》《广州市贯彻落实〈中共广东省委关于深入推进绿美广东生态建设的决定〉的行动方案》，贯彻《关于科学绿化的指导意见》精神，科学选择绿化树种，推动国土绿化高质量发展，扎实推进绿美广州生态建设，夯实《绿美广州五年行动计划（2023-2027年）》建设任务配套技术体系，为广州市森林质量优化提升工程中造林树种选择与应用提供技术支撑，编制《广州市主要造林树种适应性评价与应用指引》。</w:t>
      </w: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二、引用文件</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GB/T 15776 造林技术规程</w:t>
      </w:r>
    </w:p>
    <w:p>
      <w:pPr>
        <w:adjustRightInd w:val="0"/>
        <w:snapToGrid w:val="0"/>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GB/T 26424 森林资源规划设计调查技术规程</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LY/T 1690 低效林改造技术规程</w:t>
      </w:r>
    </w:p>
    <w:p>
      <w:pPr>
        <w:adjustRightInd w:val="0"/>
        <w:snapToGrid w:val="0"/>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LY/T 2118 大径级用材林培育导则</w:t>
      </w:r>
    </w:p>
    <w:p>
      <w:pPr>
        <w:adjustRightInd w:val="0"/>
        <w:snapToGrid w:val="0"/>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LY/T 2248 中国主要栽培珍贵树种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《关于科学绿化的指导意见》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国务院办公厅（国办发〔2021〕19号）</w:t>
      </w:r>
    </w:p>
    <w:p>
      <w:pPr>
        <w:pStyle w:val="7"/>
        <w:snapToGrid w:val="0"/>
        <w:spacing w:line="360" w:lineRule="auto"/>
        <w:ind w:firstLine="640" w:firstLineChars="200"/>
        <w:rPr>
          <w:rFonts w:ascii="Times New Roman" w:eastAsia="仿宋_GB2312" w:cs="Times New Roman"/>
        </w:rPr>
      </w:pPr>
      <w:r>
        <w:rPr>
          <w:rFonts w:ascii="Times New Roman" w:eastAsia="仿宋_GB2312" w:cs="Times New Roman"/>
        </w:rPr>
        <w:t>《国家重点保护野生植物名录》，国家林业和草原局、农业农村部（2021年第15号）</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《主要栽培珍贵树种参考名录（2022年）》，国家</w:t>
      </w:r>
      <w:r>
        <w:rPr>
          <w:rFonts w:hint="eastAsia" w:ascii="Times New Roman" w:hAnsi="Times New Roman" w:eastAsia="仿宋_GB2312" w:cs="Times New Roman"/>
          <w:sz w:val="32"/>
          <w:szCs w:val="32"/>
        </w:rPr>
        <w:t>林业和草原</w:t>
      </w:r>
      <w:r>
        <w:rPr>
          <w:rFonts w:ascii="Times New Roman" w:hAnsi="Times New Roman" w:eastAsia="仿宋_GB2312" w:cs="Times New Roman"/>
          <w:sz w:val="32"/>
          <w:szCs w:val="32"/>
        </w:rPr>
        <w:t>局（林</w:t>
      </w:r>
      <w:r>
        <w:rPr>
          <w:rFonts w:hint="eastAsia" w:ascii="Times New Roman" w:hAnsi="Times New Roman" w:eastAsia="仿宋_GB2312" w:cs="Times New Roman"/>
          <w:sz w:val="32"/>
          <w:szCs w:val="32"/>
        </w:rPr>
        <w:t>生</w:t>
      </w:r>
      <w:r>
        <w:rPr>
          <w:rFonts w:ascii="Times New Roman" w:hAnsi="Times New Roman" w:eastAsia="仿宋_GB2312" w:cs="Times New Roman"/>
          <w:sz w:val="32"/>
          <w:szCs w:val="32"/>
        </w:rPr>
        <w:t>发〔2022〕110号）</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《森林质量精准提升行动技术指南》，广东省林业局（粤林函</w:t>
      </w:r>
      <w:r>
        <w:rPr>
          <w:rFonts w:ascii="Times New Roman" w:hAnsi="Times New Roman" w:eastAsia="仿宋_GB2312" w:cs="Times New Roman"/>
          <w:kern w:val="0"/>
          <w:sz w:val="32"/>
          <w:szCs w:val="32"/>
        </w:rPr>
        <w:t>〔2023〕</w:t>
      </w:r>
      <w:r>
        <w:rPr>
          <w:rFonts w:ascii="Times New Roman" w:hAnsi="Times New Roman" w:eastAsia="仿宋_GB2312" w:cs="Times New Roman"/>
          <w:sz w:val="32"/>
          <w:szCs w:val="32"/>
        </w:rPr>
        <w:t>11号）</w:t>
      </w:r>
    </w:p>
    <w:p>
      <w:pPr>
        <w:pStyle w:val="17"/>
        <w:snapToGrid w:val="0"/>
        <w:spacing w:line="360" w:lineRule="auto"/>
        <w:ind w:firstLine="640"/>
        <w:jc w:val="both"/>
        <w:rPr>
          <w:rFonts w:ascii="Times New Roman" w:hAnsi="Times New Roman" w:eastAsia="仿宋_GB2312" w:cs="Times New Roman"/>
        </w:rPr>
      </w:pPr>
      <w:r>
        <w:rPr>
          <w:rFonts w:ascii="Times New Roman" w:hAnsi="Times New Roman" w:eastAsia="仿宋_GB2312" w:cs="Times New Roman"/>
          <w:kern w:val="2"/>
        </w:rPr>
        <w:t>《广东省主要乡土树种名录》</w:t>
      </w:r>
      <w:r>
        <w:rPr>
          <w:rFonts w:ascii="Times New Roman" w:hAnsi="Times New Roman" w:eastAsia="仿宋_GB2312" w:cs="Times New Roman"/>
        </w:rPr>
        <w:t>，广东省林业局，2022年</w:t>
      </w:r>
    </w:p>
    <w:p>
      <w:pPr>
        <w:pStyle w:val="7"/>
        <w:snapToGrid w:val="0"/>
        <w:spacing w:line="360" w:lineRule="auto"/>
        <w:ind w:firstLine="640" w:firstLineChars="200"/>
        <w:jc w:val="both"/>
        <w:rPr>
          <w:rFonts w:ascii="Times New Roman" w:eastAsia="仿宋_GB2312" w:cs="Times New Roman"/>
        </w:rPr>
      </w:pPr>
      <w:r>
        <w:rPr>
          <w:rFonts w:ascii="Times New Roman" w:eastAsia="仿宋_GB2312" w:cs="Times New Roman"/>
        </w:rPr>
        <w:t>《绿美广州五年行动计划（2023-2027年）》，广州市林业和园林局（穗林业园林通〔2023〕109号）</w:t>
      </w:r>
    </w:p>
    <w:p>
      <w:pPr>
        <w:pStyle w:val="7"/>
        <w:snapToGrid w:val="0"/>
        <w:spacing w:line="360" w:lineRule="auto"/>
        <w:ind w:firstLine="640" w:firstLineChars="200"/>
        <w:jc w:val="both"/>
        <w:rPr>
          <w:rFonts w:ascii="Times New Roman" w:eastAsia="仿宋_GB2312" w:cs="Times New Roman"/>
          <w:kern w:val="2"/>
        </w:rPr>
      </w:pPr>
      <w:r>
        <w:rPr>
          <w:rFonts w:ascii="Times New Roman" w:eastAsia="仿宋_GB2312" w:cs="Times New Roman"/>
          <w:kern w:val="2"/>
        </w:rPr>
        <w:t>《广州市森林质量优化提升工程技术指引（试行）》，广州市林业和园林局（穗林业园林通〔2023〕208号）</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《广州市主要乡土及适生植物名录》，广州市林业和园林局（穗林业园林函〔2022〕94号）</w:t>
      </w: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三、编制</w:t>
      </w:r>
      <w:r>
        <w:rPr>
          <w:rFonts w:hint="eastAsia" w:ascii="Times New Roman" w:hAnsi="Times New Roman" w:eastAsia="仿宋_GB2312" w:cs="Times New Roman"/>
          <w:b/>
          <w:bCs/>
          <w:sz w:val="32"/>
          <w:szCs w:val="32"/>
        </w:rPr>
        <w:t>说明</w:t>
      </w: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（一）树种选择与生长类型划分</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树种选择</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根据广州市及周边地区主要造林树种林分调查和文献资料综合分析，并查询国家、省、市相关推荐树种名录，筛选出适宜</w:t>
      </w:r>
      <w:r>
        <w:rPr>
          <w:rFonts w:ascii="Times New Roman" w:hAnsi="Times New Roman" w:eastAsia="仿宋_GB2312" w:cs="Times New Roman"/>
          <w:sz w:val="32"/>
          <w:szCs w:val="32"/>
        </w:rPr>
        <w:t>广州市</w:t>
      </w:r>
      <w:r>
        <w:rPr>
          <w:rFonts w:hint="eastAsia" w:ascii="Times New Roman" w:hAnsi="Times New Roman" w:eastAsia="仿宋_GB2312" w:cs="Times New Roman"/>
          <w:sz w:val="32"/>
          <w:szCs w:val="32"/>
        </w:rPr>
        <w:t>林地的更新造林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林分改造、</w:t>
      </w:r>
      <w:r>
        <w:rPr>
          <w:rFonts w:ascii="Times New Roman" w:hAnsi="Times New Roman" w:eastAsia="仿宋_GB2312" w:cs="Times New Roman"/>
          <w:sz w:val="32"/>
          <w:szCs w:val="32"/>
        </w:rPr>
        <w:t>防护林、景观林</w:t>
      </w:r>
      <w:r>
        <w:rPr>
          <w:rFonts w:hint="eastAsia" w:ascii="Times New Roman" w:hAnsi="Times New Roman" w:eastAsia="仿宋_GB2312" w:cs="Times New Roman"/>
          <w:sz w:val="32"/>
          <w:szCs w:val="32"/>
        </w:rPr>
        <w:t>等建设类型</w:t>
      </w:r>
      <w:r>
        <w:rPr>
          <w:rFonts w:ascii="Times New Roman" w:hAnsi="Times New Roman" w:eastAsia="仿宋_GB2312" w:cs="Times New Roman"/>
          <w:sz w:val="32"/>
          <w:szCs w:val="32"/>
        </w:rPr>
        <w:t>的树种及有发展潜力的树种共计30科52属70种（附录</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树种保护级别参照《国家重点保护野生植物名录》（2021年）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珍贵用材树种参照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LY/T 2248中国主要栽培珍贵树种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《主要栽培珍贵树种参考名录（2022年）》。未列入</w:t>
      </w: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指引的造林树种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经济</w:t>
      </w:r>
      <w:r>
        <w:rPr>
          <w:rFonts w:hint="eastAsia" w:ascii="Times New Roman" w:hAnsi="Times New Roman" w:eastAsia="仿宋_GB2312" w:cs="Times New Roman"/>
          <w:sz w:val="32"/>
          <w:szCs w:val="32"/>
        </w:rPr>
        <w:t>林</w:t>
      </w:r>
      <w:r>
        <w:rPr>
          <w:rFonts w:ascii="Times New Roman" w:hAnsi="Times New Roman" w:eastAsia="仿宋_GB2312" w:cs="Times New Roman"/>
          <w:sz w:val="32"/>
          <w:szCs w:val="32"/>
        </w:rPr>
        <w:t>、油茶</w:t>
      </w:r>
      <w:r>
        <w:rPr>
          <w:rFonts w:hint="eastAsia" w:ascii="Times New Roman" w:hAnsi="Times New Roman" w:eastAsia="仿宋_GB2312" w:cs="Times New Roman"/>
          <w:sz w:val="32"/>
          <w:szCs w:val="32"/>
        </w:rPr>
        <w:t>林、红树林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建设类型的树种选择，可</w:t>
      </w:r>
      <w:r>
        <w:rPr>
          <w:rFonts w:ascii="Times New Roman" w:hAnsi="Times New Roman" w:eastAsia="仿宋_GB2312" w:cs="Times New Roman"/>
          <w:sz w:val="32"/>
          <w:szCs w:val="32"/>
        </w:rPr>
        <w:t>参照省、市相关推荐名录执行。非林地森林质量提升</w:t>
      </w:r>
      <w:r>
        <w:rPr>
          <w:rFonts w:hint="eastAsia" w:ascii="Times New Roman" w:hAnsi="Times New Roman" w:eastAsia="仿宋_GB2312" w:cs="Times New Roman"/>
          <w:sz w:val="32"/>
          <w:szCs w:val="32"/>
        </w:rPr>
        <w:t>根据建设类型</w:t>
      </w:r>
      <w:r>
        <w:rPr>
          <w:rFonts w:ascii="Times New Roman" w:hAnsi="Times New Roman" w:eastAsia="仿宋_GB2312" w:cs="Times New Roman"/>
          <w:sz w:val="32"/>
          <w:szCs w:val="32"/>
        </w:rPr>
        <w:t>可</w:t>
      </w:r>
      <w:r>
        <w:rPr>
          <w:rFonts w:hint="eastAsia" w:ascii="Times New Roman" w:hAnsi="Times New Roman" w:eastAsia="仿宋_GB2312" w:cs="Times New Roman"/>
          <w:sz w:val="32"/>
          <w:szCs w:val="32"/>
        </w:rPr>
        <w:t>参考使用本指引树种</w:t>
      </w:r>
      <w:r>
        <w:rPr>
          <w:rFonts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树种生长类型划分</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树种生长类型按照生长发育特征、成熟期、寿命等进行分类，以树种在相对适宜立地条件下的成熟期及期内年均胸径生长量</w:t>
      </w:r>
      <w:r>
        <w:rPr>
          <w:rFonts w:hint="eastAsia" w:ascii="Times New Roman" w:hAnsi="Times New Roman" w:eastAsia="仿宋_GB2312" w:cs="Times New Roman"/>
          <w:sz w:val="32"/>
          <w:szCs w:val="32"/>
        </w:rPr>
        <w:t>作为主要指标</w:t>
      </w:r>
      <w:r>
        <w:rPr>
          <w:rFonts w:ascii="Times New Roman" w:hAnsi="Times New Roman" w:eastAsia="仿宋_GB2312" w:cs="Times New Roman"/>
          <w:sz w:val="32"/>
          <w:szCs w:val="32"/>
        </w:rPr>
        <w:t>进行分类。</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本指引树种按照人工林成熟期15-25年、年均胸径生长量＞0.8cm的为速生树种，成熟期26-80年和0.4&lt;年均胸径生长量≤0.8cm的为中生树种、成熟期80-120年和年均胸径生长量≤0.4的为慢生树种。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树种生长类型划分详见附录1。</w:t>
      </w: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（二）树种适应性评价方法</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w:t>
      </w:r>
      <w:r>
        <w:rPr>
          <w:rFonts w:ascii="Times New Roman" w:hAnsi="Times New Roman" w:eastAsia="仿宋_GB2312" w:cs="Times New Roman"/>
          <w:sz w:val="32"/>
          <w:szCs w:val="32"/>
        </w:rPr>
        <w:t>广州市</w:t>
      </w:r>
      <w:r>
        <w:rPr>
          <w:rFonts w:hint="eastAsia" w:ascii="Times New Roman" w:hAnsi="Times New Roman" w:eastAsia="仿宋_GB2312" w:cs="Times New Roman"/>
          <w:sz w:val="32"/>
          <w:szCs w:val="32"/>
        </w:rPr>
        <w:t>林地</w:t>
      </w:r>
      <w:r>
        <w:rPr>
          <w:rFonts w:ascii="Times New Roman" w:hAnsi="Times New Roman" w:eastAsia="仿宋_GB2312" w:cs="Times New Roman"/>
          <w:sz w:val="32"/>
          <w:szCs w:val="32"/>
        </w:rPr>
        <w:t>空间分布、地形地貌、土壤条件等分析，按照适地适树原则，分别对参选树种进行适应性评价，包括耐干旱瘠薄、耐荫性、耐寒性进行分类评价，以强、中、弱表示适应性等级。</w:t>
      </w:r>
    </w:p>
    <w:p>
      <w:pPr>
        <w:adjustRightInd w:val="0"/>
        <w:snapToGrid w:val="0"/>
        <w:spacing w:line="360" w:lineRule="auto"/>
        <w:ind w:firstLine="640" w:firstLineChars="20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耐干旱瘠薄</w:t>
      </w:r>
    </w:p>
    <w:p>
      <w:pPr>
        <w:pStyle w:val="7"/>
        <w:snapToGrid w:val="0"/>
        <w:spacing w:line="360" w:lineRule="auto"/>
        <w:ind w:firstLine="640" w:firstLineChars="200"/>
        <w:jc w:val="both"/>
        <w:rPr>
          <w:rFonts w:ascii="Times New Roman" w:eastAsia="仿宋_GB2312" w:cs="Times New Roman"/>
        </w:rPr>
      </w:pPr>
      <w:r>
        <w:rPr>
          <w:rFonts w:hint="eastAsia" w:ascii="Times New Roman" w:eastAsia="仿宋_GB2312" w:cs="Times New Roman"/>
        </w:rPr>
        <w:t>反映</w:t>
      </w:r>
      <w:r>
        <w:rPr>
          <w:rFonts w:ascii="Times New Roman" w:eastAsia="仿宋_GB2312" w:cs="Times New Roman"/>
        </w:rPr>
        <w:t>树种对土壤</w:t>
      </w:r>
      <w:r>
        <w:rPr>
          <w:rFonts w:hint="eastAsia" w:ascii="Times New Roman" w:eastAsia="仿宋_GB2312" w:cs="Times New Roman"/>
        </w:rPr>
        <w:t>水肥条件</w:t>
      </w:r>
      <w:r>
        <w:rPr>
          <w:rFonts w:ascii="Times New Roman" w:eastAsia="仿宋_GB2312" w:cs="Times New Roman"/>
        </w:rPr>
        <w:t>、土层</w:t>
      </w:r>
      <w:r>
        <w:rPr>
          <w:rFonts w:hint="eastAsia" w:ascii="Times New Roman" w:eastAsia="仿宋_GB2312" w:cs="Times New Roman"/>
        </w:rPr>
        <w:t>厚度</w:t>
      </w:r>
      <w:r>
        <w:rPr>
          <w:rFonts w:ascii="Times New Roman" w:eastAsia="仿宋_GB2312" w:cs="Times New Roman"/>
        </w:rPr>
        <w:t>、坡位等立地条件的适应性</w:t>
      </w:r>
      <w:r>
        <w:rPr>
          <w:rFonts w:hint="eastAsia" w:ascii="Times New Roman" w:eastAsia="仿宋_GB2312" w:cs="Times New Roman"/>
        </w:rPr>
        <w:t>，</w:t>
      </w:r>
      <w:r>
        <w:rPr>
          <w:rFonts w:ascii="Times New Roman" w:eastAsia="仿宋_GB2312" w:cs="Times New Roman"/>
        </w:rPr>
        <w:t>以坡位和土层厚度为</w:t>
      </w:r>
      <w:r>
        <w:rPr>
          <w:rFonts w:hint="eastAsia" w:ascii="Times New Roman" w:eastAsia="仿宋_GB2312" w:cs="Times New Roman"/>
        </w:rPr>
        <w:t>主要评价</w:t>
      </w:r>
      <w:r>
        <w:rPr>
          <w:rFonts w:ascii="Times New Roman" w:eastAsia="仿宋_GB2312" w:cs="Times New Roman"/>
        </w:rPr>
        <w:t>指标。以适宜上坡或土层厚度≤40cm、中坡或40cm&lt;土层厚度≤80cm、下坡或土层厚度＞80cm</w:t>
      </w:r>
      <w:r>
        <w:rPr>
          <w:rFonts w:hint="eastAsia" w:ascii="Times New Roman" w:eastAsia="仿宋_GB2312" w:cs="Times New Roman"/>
        </w:rPr>
        <w:t>立地</w:t>
      </w:r>
      <w:r>
        <w:rPr>
          <w:rFonts w:ascii="Times New Roman" w:eastAsia="仿宋_GB2312" w:cs="Times New Roman"/>
        </w:rPr>
        <w:t>种植</w:t>
      </w:r>
      <w:r>
        <w:rPr>
          <w:rFonts w:hint="eastAsia" w:ascii="Times New Roman" w:eastAsia="仿宋_GB2312" w:cs="Times New Roman"/>
        </w:rPr>
        <w:t>，</w:t>
      </w:r>
      <w:r>
        <w:rPr>
          <w:rFonts w:ascii="Times New Roman" w:eastAsia="仿宋_GB2312" w:cs="Times New Roman"/>
        </w:rPr>
        <w:t>反映树种耐干旱瘠薄能力强、中、弱。</w:t>
      </w:r>
      <w:r>
        <w:rPr>
          <w:rFonts w:hint="eastAsia" w:ascii="Times New Roman" w:eastAsia="仿宋_GB2312" w:cs="Times New Roman"/>
        </w:rPr>
        <w:t>耐干旱瘠薄强的树种包括木荷、乐昌含笑、火力楠（醉香含笑）、黄樟、格木、枫香、西南桦等，灰木莲、樟树、闽楠、桢楠、土沉香、山杜英等树种对立地质量反映相对敏感。</w:t>
      </w:r>
    </w:p>
    <w:p>
      <w:pPr>
        <w:adjustRightInd w:val="0"/>
        <w:snapToGrid w:val="0"/>
        <w:spacing w:line="360" w:lineRule="auto"/>
        <w:ind w:firstLine="640" w:firstLineChars="20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耐荫性</w:t>
      </w:r>
    </w:p>
    <w:p>
      <w:pPr>
        <w:pStyle w:val="7"/>
        <w:snapToGrid w:val="0"/>
        <w:spacing w:line="360" w:lineRule="auto"/>
        <w:ind w:firstLine="640" w:firstLineChars="200"/>
        <w:jc w:val="both"/>
        <w:rPr>
          <w:rFonts w:ascii="Times New Roman" w:eastAsia="仿宋_GB2312" w:cs="Times New Roman"/>
        </w:rPr>
      </w:pPr>
      <w:r>
        <w:rPr>
          <w:rFonts w:ascii="Times New Roman" w:eastAsia="仿宋_GB2312" w:cs="Times New Roman"/>
        </w:rPr>
        <w:t>林分改造模式</w:t>
      </w:r>
      <w:r>
        <w:rPr>
          <w:rFonts w:hint="eastAsia" w:ascii="Times New Roman" w:eastAsia="仿宋_GB2312" w:cs="Times New Roman"/>
        </w:rPr>
        <w:t>中</w:t>
      </w:r>
      <w:r>
        <w:rPr>
          <w:rFonts w:ascii="Times New Roman" w:eastAsia="仿宋_GB2312" w:cs="Times New Roman"/>
        </w:rPr>
        <w:t>，林下</w:t>
      </w:r>
      <w:r>
        <w:rPr>
          <w:rFonts w:hint="eastAsia" w:ascii="Times New Roman" w:eastAsia="仿宋_GB2312" w:cs="Times New Roman"/>
        </w:rPr>
        <w:t>光照相对较低</w:t>
      </w:r>
      <w:r>
        <w:rPr>
          <w:rFonts w:ascii="Times New Roman" w:eastAsia="仿宋_GB2312" w:cs="Times New Roman"/>
        </w:rPr>
        <w:t>，</w:t>
      </w:r>
      <w:r>
        <w:rPr>
          <w:rFonts w:hint="eastAsia" w:ascii="Times New Roman" w:eastAsia="仿宋_GB2312" w:cs="Times New Roman"/>
        </w:rPr>
        <w:t>因此</w:t>
      </w:r>
      <w:r>
        <w:rPr>
          <w:rFonts w:ascii="Times New Roman" w:eastAsia="仿宋_GB2312" w:cs="Times New Roman"/>
        </w:rPr>
        <w:t>对树种</w:t>
      </w:r>
      <w:r>
        <w:rPr>
          <w:rFonts w:hint="eastAsia" w:ascii="Times New Roman" w:eastAsia="仿宋_GB2312" w:cs="Times New Roman"/>
        </w:rPr>
        <w:t>耐荫</w:t>
      </w:r>
      <w:r>
        <w:rPr>
          <w:rFonts w:ascii="Times New Roman" w:eastAsia="仿宋_GB2312" w:cs="Times New Roman"/>
        </w:rPr>
        <w:t>性</w:t>
      </w:r>
      <w:r>
        <w:rPr>
          <w:rFonts w:hint="eastAsia" w:ascii="Times New Roman" w:eastAsia="仿宋_GB2312" w:cs="Times New Roman"/>
        </w:rPr>
        <w:t>进行评价</w:t>
      </w:r>
      <w:r>
        <w:rPr>
          <w:rFonts w:ascii="Times New Roman" w:eastAsia="仿宋_GB2312" w:cs="Times New Roman"/>
        </w:rPr>
        <w:t>。以适宜在0.6&lt;郁闭度≤0.8、0.4&lt;郁闭度≤0.6、郁闭度≤0.4种植反映树种耐荫性强、中、弱。</w:t>
      </w:r>
      <w:r>
        <w:rPr>
          <w:rFonts w:hint="eastAsia" w:ascii="Times New Roman" w:eastAsia="仿宋_GB2312" w:cs="Times New Roman"/>
        </w:rPr>
        <w:t>格木、木荷、乐昌含笑、灰木莲、长叶竹柏等耐荫性强，枫香、黑木相思、西南桦、山杜英、南酸枣、楝叶吴萸、乌桕等树种耐荫性相对较弱。</w:t>
      </w:r>
    </w:p>
    <w:p>
      <w:pPr>
        <w:pStyle w:val="7"/>
        <w:snapToGrid w:val="0"/>
        <w:spacing w:line="360" w:lineRule="auto"/>
        <w:ind w:firstLine="640" w:firstLineChars="200"/>
        <w:jc w:val="both"/>
        <w:rPr>
          <w:rFonts w:ascii="Times New Roman" w:eastAsia="仿宋_GB2312" w:cs="Times New Roman"/>
        </w:rPr>
      </w:pPr>
      <w:r>
        <w:rPr>
          <w:rFonts w:ascii="Times New Roman" w:eastAsia="仿宋_GB2312" w:cs="Times New Roman"/>
        </w:rPr>
        <w:t>3</w:t>
      </w:r>
      <w:r>
        <w:rPr>
          <w:rFonts w:hint="eastAsia" w:ascii="Times New Roman" w:eastAsia="仿宋_GB2312" w:cs="Times New Roman"/>
          <w:lang w:eastAsia="zh-CN"/>
        </w:rPr>
        <w:t>.</w:t>
      </w:r>
      <w:r>
        <w:rPr>
          <w:rFonts w:ascii="Times New Roman" w:eastAsia="仿宋_GB2312" w:cs="Times New Roman"/>
        </w:rPr>
        <w:t>耐寒性</w:t>
      </w:r>
    </w:p>
    <w:p>
      <w:pPr>
        <w:pStyle w:val="7"/>
        <w:snapToGrid w:val="0"/>
        <w:spacing w:line="360" w:lineRule="auto"/>
        <w:ind w:firstLine="640" w:firstLineChars="200"/>
        <w:jc w:val="both"/>
        <w:rPr>
          <w:rFonts w:ascii="Times New Roman" w:eastAsia="仿宋_GB2312" w:cs="Times New Roman"/>
        </w:rPr>
      </w:pPr>
      <w:r>
        <w:rPr>
          <w:rFonts w:hint="eastAsia" w:ascii="Times New Roman" w:eastAsia="仿宋_GB2312" w:cs="Times New Roman"/>
        </w:rPr>
        <w:t>全球气候变化背景下，</w:t>
      </w:r>
      <w:r>
        <w:rPr>
          <w:rFonts w:ascii="Times New Roman" w:eastAsia="仿宋_GB2312" w:cs="Times New Roman"/>
        </w:rPr>
        <w:t>热带或南亚热带树种向北部引种时</w:t>
      </w:r>
      <w:r>
        <w:rPr>
          <w:rFonts w:hint="eastAsia" w:ascii="Times New Roman" w:eastAsia="仿宋_GB2312" w:cs="Times New Roman"/>
        </w:rPr>
        <w:t>，</w:t>
      </w:r>
      <w:r>
        <w:rPr>
          <w:rFonts w:ascii="Times New Roman" w:eastAsia="仿宋_GB2312" w:cs="Times New Roman"/>
        </w:rPr>
        <w:t>可能遭受</w:t>
      </w:r>
      <w:r>
        <w:rPr>
          <w:rFonts w:hint="eastAsia" w:ascii="Times New Roman" w:eastAsia="仿宋_GB2312" w:cs="Times New Roman"/>
        </w:rPr>
        <w:t>极端</w:t>
      </w:r>
      <w:r>
        <w:rPr>
          <w:rFonts w:ascii="Times New Roman" w:eastAsia="仿宋_GB2312" w:cs="Times New Roman"/>
        </w:rPr>
        <w:t>低温</w:t>
      </w:r>
      <w:r>
        <w:rPr>
          <w:rFonts w:hint="eastAsia" w:ascii="Times New Roman" w:eastAsia="仿宋_GB2312" w:cs="Times New Roman"/>
        </w:rPr>
        <w:t>产生的</w:t>
      </w:r>
      <w:r>
        <w:rPr>
          <w:rFonts w:ascii="Times New Roman" w:eastAsia="仿宋_GB2312" w:cs="Times New Roman"/>
        </w:rPr>
        <w:t>寒害、冻害、霜害等风险</w:t>
      </w:r>
      <w:r>
        <w:rPr>
          <w:rFonts w:hint="eastAsia" w:ascii="Times New Roman" w:eastAsia="仿宋_GB2312" w:cs="Times New Roman"/>
        </w:rPr>
        <w:t>，因此对树种耐寒性</w:t>
      </w:r>
      <w:r>
        <w:rPr>
          <w:rFonts w:ascii="Times New Roman" w:eastAsia="仿宋_GB2312" w:cs="Times New Roman"/>
        </w:rPr>
        <w:t>分析评价。当遭遇最</w:t>
      </w:r>
      <w:r>
        <w:rPr>
          <w:rFonts w:ascii="Times New Roman" w:eastAsia="仿宋_GB2312" w:cs="Times New Roman"/>
          <w:szCs w:val="21"/>
        </w:rPr>
        <w:t>低气温≤0</w:t>
      </w:r>
      <w:r>
        <w:rPr>
          <w:rFonts w:hint="eastAsia" w:ascii="宋体" w:hAnsi="宋体" w:eastAsia="宋体" w:cs="宋体"/>
          <w:szCs w:val="21"/>
        </w:rPr>
        <w:t>℃</w:t>
      </w:r>
      <w:r>
        <w:rPr>
          <w:rFonts w:ascii="Times New Roman" w:eastAsia="仿宋_GB2312" w:cs="Times New Roman"/>
          <w:szCs w:val="21"/>
        </w:rPr>
        <w:t>且持续5天以上，或</w:t>
      </w:r>
      <w:r>
        <w:rPr>
          <w:rFonts w:ascii="Times New Roman" w:eastAsia="仿宋_GB2312" w:cs="Times New Roman"/>
        </w:rPr>
        <w:t>24小时降温8℃以上或48小时降温10℃以上、同时最低温度低于5℃的寒潮时，以树体无影响、顶梢受害、中幼林主干部分受害或成林生长不良反映树种耐寒性强、中、弱。</w:t>
      </w:r>
      <w:r>
        <w:rPr>
          <w:rFonts w:hint="eastAsia" w:ascii="Times New Roman" w:eastAsia="仿宋_GB2312" w:cs="Times New Roman"/>
        </w:rPr>
        <w:t>壳斗科、樟科、木兰科等地带性树种一般耐寒性较强。中国无忧花、铁力木、银叶树、水黄皮、土沉香、青皮、坡垒、乌墨（海南蒲桃）、西南桦等在北部寒流通道区域皆伐造林的幼林期具有一定风险。</w:t>
      </w:r>
    </w:p>
    <w:p>
      <w:pPr>
        <w:pStyle w:val="7"/>
        <w:snapToGrid w:val="0"/>
        <w:spacing w:line="360" w:lineRule="auto"/>
        <w:ind w:firstLine="640" w:firstLineChars="200"/>
        <w:jc w:val="both"/>
        <w:rPr>
          <w:rFonts w:ascii="Times New Roman" w:eastAsia="仿宋_GB2312" w:cs="Times New Roman"/>
        </w:rPr>
      </w:pPr>
      <w:r>
        <w:rPr>
          <w:rFonts w:hint="eastAsia" w:ascii="Times New Roman" w:eastAsia="仿宋_GB2312" w:cs="Times New Roman"/>
        </w:rPr>
        <w:t>树种适应性评价结果详见附录1。</w:t>
      </w:r>
    </w:p>
    <w:p>
      <w:pPr>
        <w:adjustRightInd w:val="0"/>
        <w:snapToGrid w:val="0"/>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（三）树种应用建议</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树种应用分类</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优势种</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对群落结构和群落环境的形成有明显控制作用的植物种</w:t>
      </w:r>
      <w:r>
        <w:rPr>
          <w:rFonts w:hint="eastAsia" w:ascii="Times New Roman" w:hAnsi="Times New Roman" w:eastAsia="仿宋_GB2312" w:cs="Times New Roman"/>
          <w:sz w:val="32"/>
          <w:szCs w:val="32"/>
        </w:rPr>
        <w:t>，群落</w:t>
      </w:r>
      <w:r>
        <w:rPr>
          <w:rFonts w:ascii="Times New Roman" w:hAnsi="Times New Roman" w:eastAsia="仿宋_GB2312" w:cs="Times New Roman"/>
          <w:sz w:val="32"/>
          <w:szCs w:val="32"/>
        </w:rPr>
        <w:t>优势层中的优势种称为建群种</w:t>
      </w:r>
      <w:r>
        <w:rPr>
          <w:rFonts w:hint="eastAsia" w:ascii="Times New Roman" w:hAnsi="Times New Roman" w:eastAsia="仿宋_GB2312" w:cs="Times New Roman"/>
          <w:sz w:val="32"/>
          <w:szCs w:val="32"/>
        </w:rPr>
        <w:t>。建群种决定群落结构和内部环境条件，人工林的</w:t>
      </w:r>
      <w:r>
        <w:rPr>
          <w:rFonts w:ascii="Times New Roman" w:hAnsi="Times New Roman" w:eastAsia="仿宋_GB2312" w:cs="Times New Roman"/>
          <w:sz w:val="32"/>
          <w:szCs w:val="32"/>
        </w:rPr>
        <w:t>建群树种</w:t>
      </w:r>
      <w:r>
        <w:rPr>
          <w:rFonts w:hint="eastAsia" w:ascii="Times New Roman" w:hAnsi="Times New Roman" w:eastAsia="仿宋_GB2312" w:cs="Times New Roman"/>
          <w:sz w:val="32"/>
          <w:szCs w:val="32"/>
        </w:rPr>
        <w:t>常</w:t>
      </w:r>
      <w:r>
        <w:rPr>
          <w:rFonts w:ascii="Times New Roman" w:hAnsi="Times New Roman" w:eastAsia="仿宋_GB2312" w:cs="Times New Roman"/>
          <w:sz w:val="32"/>
          <w:szCs w:val="32"/>
        </w:rPr>
        <w:t>以长寿命、</w:t>
      </w:r>
      <w:r>
        <w:rPr>
          <w:rFonts w:hint="eastAsia" w:ascii="Times New Roman" w:hAnsi="Times New Roman" w:eastAsia="仿宋_GB2312" w:cs="Times New Roman"/>
          <w:sz w:val="32"/>
          <w:szCs w:val="32"/>
        </w:rPr>
        <w:t>适应性强、</w:t>
      </w:r>
      <w:r>
        <w:rPr>
          <w:rFonts w:ascii="Times New Roman" w:hAnsi="Times New Roman" w:eastAsia="仿宋_GB2312" w:cs="Times New Roman"/>
          <w:sz w:val="32"/>
          <w:szCs w:val="32"/>
        </w:rPr>
        <w:t>成林效果好、经济价值和生态效益高的</w:t>
      </w:r>
      <w:r>
        <w:rPr>
          <w:rFonts w:hint="eastAsia" w:ascii="Times New Roman" w:hAnsi="Times New Roman" w:eastAsia="仿宋_GB2312" w:cs="Times New Roman"/>
          <w:sz w:val="32"/>
          <w:szCs w:val="32"/>
        </w:rPr>
        <w:t>地带性</w:t>
      </w:r>
      <w:r>
        <w:rPr>
          <w:rFonts w:ascii="Times New Roman" w:hAnsi="Times New Roman" w:eastAsia="仿宋_GB2312" w:cs="Times New Roman"/>
          <w:sz w:val="32"/>
          <w:szCs w:val="32"/>
        </w:rPr>
        <w:t>树种为主</w:t>
      </w:r>
      <w:r>
        <w:rPr>
          <w:rFonts w:hint="eastAsia"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辅助树种（辅助树）指有利于提高森林的生物多样性、保护濒危或稀有树种、改善森林空间结构、保护和改良土壤等功能的林木。人工林辅助树种一般</w:t>
      </w:r>
      <w:r>
        <w:rPr>
          <w:rFonts w:ascii="Times New Roman" w:hAnsi="Times New Roman" w:eastAsia="仿宋_GB2312" w:cs="Times New Roman"/>
          <w:sz w:val="32"/>
          <w:szCs w:val="32"/>
        </w:rPr>
        <w:t>包括</w:t>
      </w:r>
      <w:r>
        <w:rPr>
          <w:rFonts w:hint="eastAsia" w:ascii="Times New Roman" w:hAnsi="Times New Roman" w:eastAsia="仿宋_GB2312" w:cs="Times New Roman"/>
          <w:sz w:val="32"/>
          <w:szCs w:val="32"/>
        </w:rPr>
        <w:t>经济价值较低、</w:t>
      </w:r>
      <w:r>
        <w:rPr>
          <w:rFonts w:ascii="Times New Roman" w:hAnsi="Times New Roman" w:eastAsia="仿宋_GB2312" w:cs="Times New Roman"/>
          <w:sz w:val="32"/>
          <w:szCs w:val="32"/>
        </w:rPr>
        <w:t>成林效果相对较差</w:t>
      </w:r>
      <w:r>
        <w:rPr>
          <w:rFonts w:hint="eastAsia" w:ascii="Times New Roman" w:hAnsi="Times New Roman" w:eastAsia="仿宋_GB2312" w:cs="Times New Roman"/>
          <w:sz w:val="32"/>
          <w:szCs w:val="32"/>
        </w:rPr>
        <w:t>，但早期综合效益较高</w:t>
      </w:r>
      <w:r>
        <w:rPr>
          <w:rFonts w:ascii="Times New Roman" w:hAnsi="Times New Roman" w:eastAsia="仿宋_GB2312" w:cs="Times New Roman"/>
          <w:sz w:val="32"/>
          <w:szCs w:val="32"/>
        </w:rPr>
        <w:t>的短寿命</w:t>
      </w:r>
      <w:r>
        <w:rPr>
          <w:rFonts w:hint="eastAsia" w:ascii="Times New Roman" w:hAnsi="Times New Roman" w:eastAsia="仿宋_GB2312" w:cs="Times New Roman"/>
          <w:sz w:val="32"/>
          <w:szCs w:val="32"/>
        </w:rPr>
        <w:t>树种；价值较高，但早期生长较慢，作为建群种易受病虫害影响、立地适应性相对较低的长寿命树种；</w:t>
      </w:r>
      <w:r>
        <w:rPr>
          <w:rFonts w:ascii="Times New Roman" w:hAnsi="Times New Roman" w:eastAsia="仿宋_GB2312" w:cs="Times New Roman"/>
          <w:sz w:val="32"/>
          <w:szCs w:val="32"/>
        </w:rPr>
        <w:t>根据立地、林分现状、培育模式、建设目标等选择作为伴生树种的</w:t>
      </w:r>
      <w:r>
        <w:rPr>
          <w:rFonts w:hint="eastAsia" w:ascii="Times New Roman" w:hAnsi="Times New Roman" w:eastAsia="仿宋_GB2312" w:cs="Times New Roman"/>
          <w:sz w:val="32"/>
          <w:szCs w:val="32"/>
        </w:rPr>
        <w:t>长寿命</w:t>
      </w:r>
      <w:r>
        <w:rPr>
          <w:rFonts w:ascii="Times New Roman" w:hAnsi="Times New Roman" w:eastAsia="仿宋_GB2312" w:cs="Times New Roman"/>
          <w:sz w:val="32"/>
          <w:szCs w:val="32"/>
        </w:rPr>
        <w:t>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本指引根据</w:t>
      </w:r>
      <w:r>
        <w:rPr>
          <w:rFonts w:ascii="Times New Roman" w:hAnsi="Times New Roman" w:eastAsia="仿宋_GB2312" w:cs="Times New Roman"/>
          <w:sz w:val="32"/>
          <w:szCs w:val="32"/>
        </w:rPr>
        <w:t>树种生长速度、</w:t>
      </w:r>
      <w:r>
        <w:rPr>
          <w:rFonts w:hint="eastAsia" w:ascii="Times New Roman" w:hAnsi="Times New Roman" w:eastAsia="仿宋_GB2312" w:cs="Times New Roman"/>
          <w:sz w:val="32"/>
          <w:szCs w:val="32"/>
        </w:rPr>
        <w:t>寿命</w:t>
      </w:r>
      <w:r>
        <w:rPr>
          <w:rFonts w:ascii="Times New Roman" w:hAnsi="Times New Roman" w:eastAsia="仿宋_GB2312" w:cs="Times New Roman"/>
          <w:sz w:val="32"/>
          <w:szCs w:val="32"/>
        </w:rPr>
        <w:t>、成林效果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干形、经济价值和生态效益</w:t>
      </w:r>
      <w:r>
        <w:rPr>
          <w:rFonts w:hint="eastAsia" w:ascii="Times New Roman" w:hAnsi="Times New Roman" w:eastAsia="仿宋_GB2312" w:cs="Times New Roman"/>
          <w:sz w:val="32"/>
          <w:szCs w:val="32"/>
        </w:rPr>
        <w:t>等将树种分为建群树种、辅助树种和兼用树种</w:t>
      </w:r>
      <w:r>
        <w:rPr>
          <w:rFonts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树种</w:t>
      </w:r>
      <w:r>
        <w:rPr>
          <w:rFonts w:hint="eastAsia" w:ascii="Times New Roman" w:eastAsia="仿宋_GB2312" w:cs="Times New Roman"/>
          <w:sz w:val="32"/>
          <w:szCs w:val="32"/>
        </w:rPr>
        <w:t>应用类型分类</w:t>
      </w:r>
      <w:r>
        <w:rPr>
          <w:rFonts w:hint="eastAsia" w:ascii="Times New Roman" w:hAnsi="Times New Roman" w:eastAsia="仿宋_GB2312" w:cs="Times New Roman"/>
          <w:sz w:val="32"/>
          <w:szCs w:val="32"/>
        </w:rPr>
        <w:t>详见附录</w:t>
      </w:r>
      <w:r>
        <w:rPr>
          <w:rFonts w:hint="eastAsia" w:ascii="Times New Roman" w:eastAsia="仿宋_GB2312" w:cs="Times New Roman"/>
          <w:sz w:val="32"/>
          <w:szCs w:val="32"/>
        </w:rPr>
        <w:t>1</w:t>
      </w:r>
      <w:r>
        <w:rPr>
          <w:rFonts w:hint="eastAsia"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立地</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树种选择</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广州市地形和土壤条件，低山地区可分为上、中、下坡，丘陵地区分为上、下坡。山顶建议营建生物防火林带，树种以木荷、火力楠为主。上坡一般立地较差，树种选择适应性强的树种为主，培育生态林兼顾生物多样性。中、下坡一般立地较好根据坡度和土壤条件、功能需求，可选择营建木材战略储备林、景观林、水源林或兼用林。</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林分改造时，要在立地分析基础上，根据林分高度、林窗面积或郁闭度等，结合培育目标科学选择补植树种。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树种</w:t>
      </w:r>
      <w:r>
        <w:rPr>
          <w:rFonts w:hint="eastAsia" w:ascii="Times New Roman" w:eastAsia="仿宋_GB2312" w:cs="Times New Roman"/>
          <w:sz w:val="32"/>
          <w:szCs w:val="32"/>
        </w:rPr>
        <w:t>适宜建设类型分类</w:t>
      </w:r>
      <w:r>
        <w:rPr>
          <w:rFonts w:hint="eastAsia" w:ascii="Times New Roman" w:hAnsi="Times New Roman" w:eastAsia="仿宋_GB2312" w:cs="Times New Roman"/>
          <w:sz w:val="32"/>
          <w:szCs w:val="32"/>
        </w:rPr>
        <w:t>详见附录</w:t>
      </w:r>
      <w:r>
        <w:rPr>
          <w:rFonts w:hint="eastAsia" w:ascii="Times New Roman" w:eastAsia="仿宋_GB2312" w:cs="Times New Roman"/>
          <w:sz w:val="32"/>
          <w:szCs w:val="32"/>
        </w:rPr>
        <w:t>1</w:t>
      </w:r>
      <w:r>
        <w:rPr>
          <w:rFonts w:hint="eastAsia"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建设类型与树种</w:t>
      </w:r>
      <w:r>
        <w:rPr>
          <w:rFonts w:ascii="Times New Roman" w:hAnsi="Times New Roman" w:eastAsia="仿宋_GB2312" w:cs="Times New Roman"/>
          <w:sz w:val="32"/>
          <w:szCs w:val="32"/>
        </w:rPr>
        <w:t>配置</w:t>
      </w:r>
      <w:r>
        <w:rPr>
          <w:rFonts w:hint="eastAsia" w:ascii="Times New Roman" w:hAnsi="Times New Roman" w:eastAsia="仿宋_GB2312" w:cs="Times New Roman"/>
          <w:sz w:val="32"/>
          <w:szCs w:val="32"/>
        </w:rPr>
        <w:t>建议</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《绿美广州五年行动计划（2</w:t>
      </w:r>
      <w:r>
        <w:rPr>
          <w:rFonts w:ascii="Times New Roman" w:hAnsi="Times New Roman" w:eastAsia="仿宋_GB2312" w:cs="Times New Roman"/>
          <w:sz w:val="32"/>
          <w:szCs w:val="32"/>
        </w:rPr>
        <w:t>023-2027</w:t>
      </w:r>
      <w:r>
        <w:rPr>
          <w:rFonts w:hint="eastAsia" w:ascii="Times New Roman" w:hAnsi="Times New Roman" w:eastAsia="仿宋_GB2312" w:cs="Times New Roman"/>
          <w:sz w:val="32"/>
          <w:szCs w:val="32"/>
        </w:rPr>
        <w:t>年）》中</w:t>
      </w:r>
      <w:r>
        <w:rPr>
          <w:rFonts w:ascii="Times New Roman" w:hAnsi="Times New Roman" w:eastAsia="仿宋_GB2312" w:cs="Times New Roman"/>
          <w:sz w:val="32"/>
          <w:szCs w:val="32"/>
        </w:rPr>
        <w:t>森林质量</w:t>
      </w:r>
      <w:r>
        <w:rPr>
          <w:rFonts w:hint="eastAsia" w:ascii="Times New Roman" w:hAnsi="Times New Roman" w:eastAsia="仿宋_GB2312" w:cs="Times New Roman"/>
          <w:sz w:val="32"/>
          <w:szCs w:val="32"/>
        </w:rPr>
        <w:t>优化</w:t>
      </w:r>
      <w:r>
        <w:rPr>
          <w:rFonts w:ascii="Times New Roman" w:hAnsi="Times New Roman" w:eastAsia="仿宋_GB2312" w:cs="Times New Roman"/>
          <w:sz w:val="32"/>
          <w:szCs w:val="32"/>
        </w:rPr>
        <w:t>提升</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建设任务主要包括大径材林、生态景观林、困难立地造林复绿、</w:t>
      </w:r>
      <w:r>
        <w:rPr>
          <w:rFonts w:hint="eastAsia" w:ascii="Times New Roman" w:hAnsi="Times New Roman" w:eastAsia="仿宋_GB2312" w:cs="Times New Roman"/>
          <w:sz w:val="32"/>
          <w:szCs w:val="32"/>
        </w:rPr>
        <w:t>水源涵养林、</w:t>
      </w:r>
      <w:r>
        <w:rPr>
          <w:rFonts w:ascii="Times New Roman" w:hAnsi="Times New Roman" w:eastAsia="仿宋_GB2312" w:cs="Times New Roman"/>
          <w:sz w:val="32"/>
          <w:szCs w:val="32"/>
        </w:rPr>
        <w:t>防护林、低效林改造等类型以及兼用类型。</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（1）大径材林培育应选择立地良好区域，优先选择干形通直的珍贵用材树种、用材树种做建群种，以慢生珍贵树种或其他短寿命树种做辅助树种，合理控制树种比例和培育模式。建群树种</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-3种，比例40-50%，建议树种配置时生长特性近似的树种选择1种，辅助树种1-2种。建群树种可选择乐昌含笑、火力楠、木荷、红锥、米槠、闽楠、浙江润楠、青冈、黑木相思、黄樟等；辅助树种可选择格木、花榈木、降香黄檀、土沉香、华润楠、桢楠等。</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有目的树种且经过间伐调整后的大径材林补植时，根据林分郁闭度等进行树种选择和配置。补植建群树种可选择格木、乐昌含笑、火力楠、木荷、红锥、灰木莲、米老排、闽楠、桢楠、浙江润楠等，比例60-70%；辅助树种可选择华润楠、黄樟、花榈木、伯乐树等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景观林以大尺度山地景观林为主，注意景观树种及其与辅助树种的合理配置。景观林建群树种2-3种，比例60-70%，辅助树种1-2种。建群树种可选择枫香、山杜英、楝叶吴萸、红花荷、乐昌含笑、火力楠；辅助树种铁冬青、阴香、杨梅、复羽叶栾、仪花、铁刀木、南山茶、格木等。景观林不建议随机混交，要根据地形、视角等条件选择块状或带状种植，合理打造长期山地生态景观。</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困难立地造林优先选择耐干旱瘠薄强的树种，注重落叶和常绿树种、短寿命和长寿命树种的合理配置；可选择适应性强的用材树种，但不宜培育大径材林。建群树种2-3种，比例60-70%，辅助树种1-2种。建群树种可选择火力楠、乐昌含笑、木荷、黑木相思、任豆、南酸枣等，比例60-70%；辅助树种可选择红椎、格木、青冈、槟榔青冈、赤皮青冈、降香黄檀、交趾黄檀、枫香、黧蒴、木油桐（千年桐）、黄桐等。</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水源涵养林、水土保持林可选择速生树种与中生、慢生树种配置，落叶与常绿树种配置，立地条件较好可兼顾大径材储备林培育。建群树种比例40-50%，可选择红锥、木荷、火力楠、乐昌含笑、灰木莲、浙江润楠、黄樟、西南桦、米槠、米老排、观光木、杉木等；辅助树种以南酸枣、白颜树、黧蒴、假柿木姜子、水翁等地带性树种为主。</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林分改造需根据林分高度、林窗面积、间伐后郁闭度、立地质量、建设目标等，在适地适树基础上，优先选择耐荫性强的树种。建群树种可选择格木、乐昌含笑、火力楠、木荷、红锥、灰木莲、米老排、闽楠、桢楠、浙江润楠等，比例60-70%；辅助树种可选择华润楠、黄樟、花榈木、伯乐树等树种。林窗面积小于200m</w:t>
      </w:r>
      <w:r>
        <w:rPr>
          <w:rFonts w:hint="eastAsia"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、郁闭度大于0.6时，不建议选择耐荫性低枫香、山杜英、西南桦、黑木相思、楝叶吴萸、乌桕等树种。立地较差林分改造时优先选择适应性和耐荫性强的木荷、乐昌含笑、火力楠、格木等树种。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防护林需根据具体立地、主体和兼用功能进行树种选择。堤岸防护林优先选择耐水湿、抗风强的树种；沿海防护林优先选择耐水湿、耐盐碱、抗风强的树种；道路防护林优先选择长寿命的常绿树种、珍贵树种；农田防护林优先选择窄冠树种，可根据当地条件、传统选择适宜经济树种。</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建设类型与参考树种配置详见附录2。</w:t>
      </w:r>
    </w:p>
    <w:p>
      <w:pPr>
        <w:adjustRightInd w:val="0"/>
        <w:snapToGrid w:val="0"/>
        <w:spacing w:line="360" w:lineRule="auto"/>
        <w:ind w:firstLine="643" w:firstLineChars="200"/>
        <w:outlineLvl w:val="1"/>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四</w:t>
      </w:r>
      <w:r>
        <w:rPr>
          <w:rFonts w:ascii="Times New Roman" w:hAnsi="Times New Roman" w:eastAsia="仿宋_GB2312" w:cs="Times New Roman"/>
          <w:b/>
          <w:bCs/>
          <w:sz w:val="32"/>
          <w:szCs w:val="32"/>
        </w:rPr>
        <w:t>）造林空间</w:t>
      </w:r>
      <w:r>
        <w:rPr>
          <w:rFonts w:hint="eastAsia" w:ascii="Times New Roman" w:hAnsi="Times New Roman" w:eastAsia="仿宋_GB2312" w:cs="Times New Roman"/>
          <w:b/>
          <w:bCs/>
          <w:sz w:val="32"/>
          <w:szCs w:val="32"/>
        </w:rPr>
        <w:t>规划建议</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根据《绿美广州五年行动计划（2023-2027）》，</w:t>
      </w:r>
      <w:r>
        <w:rPr>
          <w:rFonts w:ascii="Times New Roman" w:hAnsi="Times New Roman" w:eastAsia="仿宋_GB2312" w:cs="Times New Roman"/>
          <w:sz w:val="32"/>
          <w:szCs w:val="32"/>
        </w:rPr>
        <w:t>结合广州市林地空间分布、气候、立地特征等，将造林空间划分为北、中、南部三个片区。</w:t>
      </w:r>
    </w:p>
    <w:p>
      <w:pPr>
        <w:adjustRightInd w:val="0"/>
        <w:snapToGrid w:val="0"/>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北部片区</w:t>
      </w:r>
      <w:r>
        <w:rPr>
          <w:rFonts w:ascii="Times New Roman" w:hAnsi="Times New Roman" w:eastAsia="仿宋_GB2312" w:cs="Times New Roman"/>
          <w:kern w:val="0"/>
          <w:sz w:val="32"/>
          <w:szCs w:val="32"/>
        </w:rPr>
        <w:t>包括从化区、增城区中部和北部、花都区北部、白云区东部与黄埔区北部相连部分，地形以低山丘陵为主，</w:t>
      </w:r>
      <w:r>
        <w:rPr>
          <w:rFonts w:ascii="Times New Roman" w:hAnsi="Times New Roman" w:eastAsia="仿宋_GB2312" w:cs="Times New Roman"/>
          <w:sz w:val="32"/>
          <w:szCs w:val="32"/>
        </w:rPr>
        <w:t>围绕大径材培育、山地生态景观林、低效林改造等建设多功能兼用林</w:t>
      </w:r>
      <w:r>
        <w:rPr>
          <w:rFonts w:ascii="Times New Roman" w:hAnsi="Times New Roman" w:eastAsia="仿宋_GB2312" w:cs="Times New Roman"/>
          <w:kern w:val="0"/>
          <w:sz w:val="32"/>
          <w:szCs w:val="32"/>
        </w:rPr>
        <w:t>。</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中部片区包括天河区、黄埔区、白云区、花都区除划入到北部片区的部分，处于南北片区中间的</w:t>
      </w:r>
      <w:r>
        <w:rPr>
          <w:rFonts w:ascii="Times New Roman" w:hAnsi="Times New Roman" w:eastAsia="仿宋_GB2312" w:cs="Times New Roman"/>
          <w:kern w:val="0"/>
          <w:sz w:val="32"/>
          <w:szCs w:val="32"/>
        </w:rPr>
        <w:t>城市化程度较高区域，地形为丘陵盆地，以培育城市森林景观和生态兼用林为主。</w:t>
      </w:r>
    </w:p>
    <w:p>
      <w:pPr>
        <w:adjustRightInd w:val="0"/>
        <w:snapToGrid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南部片区包括番禺区和南沙区，濒临南海，地形</w:t>
      </w:r>
      <w:r>
        <w:rPr>
          <w:rFonts w:ascii="Times New Roman" w:hAnsi="Times New Roman" w:eastAsia="仿宋_GB2312" w:cs="Times New Roman"/>
          <w:kern w:val="0"/>
          <w:sz w:val="32"/>
          <w:szCs w:val="32"/>
        </w:rPr>
        <w:t>为沿海冲积平原，</w:t>
      </w:r>
      <w:r>
        <w:rPr>
          <w:rFonts w:hint="eastAsia" w:ascii="Times New Roman" w:hAnsi="Times New Roman" w:eastAsia="仿宋_GB2312" w:cs="Times New Roman"/>
          <w:kern w:val="0"/>
          <w:sz w:val="32"/>
          <w:szCs w:val="32"/>
        </w:rPr>
        <w:t>林地面积较少，</w:t>
      </w:r>
      <w:r>
        <w:rPr>
          <w:rFonts w:ascii="Times New Roman" w:hAnsi="Times New Roman" w:eastAsia="仿宋_GB2312" w:cs="Times New Roman"/>
          <w:kern w:val="0"/>
          <w:sz w:val="32"/>
          <w:szCs w:val="32"/>
        </w:rPr>
        <w:t>以</w:t>
      </w:r>
      <w:r>
        <w:rPr>
          <w:rFonts w:ascii="Times New Roman" w:hAnsi="Times New Roman" w:eastAsia="仿宋_GB2312" w:cs="Times New Roman"/>
          <w:sz w:val="32"/>
          <w:szCs w:val="32"/>
        </w:rPr>
        <w:t>建设</w:t>
      </w:r>
      <w:r>
        <w:rPr>
          <w:rFonts w:ascii="Times New Roman" w:hAnsi="Times New Roman" w:eastAsia="仿宋_GB2312" w:cs="Times New Roman"/>
          <w:kern w:val="0"/>
          <w:sz w:val="32"/>
          <w:szCs w:val="32"/>
        </w:rPr>
        <w:t>防护林为主的生态和景观兼用林</w:t>
      </w:r>
      <w:r>
        <w:rPr>
          <w:rFonts w:hint="eastAsia" w:ascii="Times New Roman" w:hAnsi="Times New Roman" w:eastAsia="仿宋_GB2312" w:cs="Times New Roman"/>
          <w:kern w:val="0"/>
          <w:sz w:val="32"/>
          <w:szCs w:val="32"/>
        </w:rPr>
        <w:t>。</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造林空间划分与参考建设类型详见附录</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p>
    <w:p>
      <w:pPr>
        <w:adjustRightInd w:val="0"/>
        <w:snapToGrid w:val="0"/>
        <w:spacing w:line="360" w:lineRule="auto"/>
        <w:ind w:firstLine="640" w:firstLineChars="200"/>
        <w:rPr>
          <w:rFonts w:ascii="Times New Roman" w:hAnsi="Times New Roman" w:eastAsia="仿宋_GB2312" w:cs="Times New Roman"/>
          <w:kern w:val="0"/>
          <w:sz w:val="32"/>
          <w:szCs w:val="32"/>
        </w:rPr>
        <w:sectPr>
          <w:footerReference r:id="rId5" w:type="first"/>
          <w:footerReference r:id="rId4" w:type="default"/>
          <w:pgSz w:w="11906" w:h="16838"/>
          <w:pgMar w:top="2098" w:right="1474" w:bottom="1984" w:left="1588" w:header="851" w:footer="1400" w:gutter="0"/>
          <w:pgNumType w:start="1"/>
          <w:cols w:space="425" w:num="1"/>
          <w:titlePg/>
          <w:docGrid w:type="lines" w:linePitch="312" w:charSpace="0"/>
        </w:sectPr>
      </w:pPr>
    </w:p>
    <w:p>
      <w:pPr>
        <w:pStyle w:val="2"/>
        <w:adjustRightInd w:val="0"/>
        <w:snapToGrid w:val="0"/>
        <w:spacing w:after="156" w:afterLines="50" w:line="560" w:lineRule="exact"/>
        <w:rPr>
          <w:rFonts w:ascii="Times New Roman" w:hAnsi="Times New Roman" w:eastAsia="仿宋_GB2312" w:cs="Times New Roman"/>
          <w:b/>
          <w:bCs w:val="0"/>
        </w:rPr>
      </w:pPr>
      <w:bookmarkStart w:id="5" w:name="_Toc18610"/>
      <w:bookmarkStart w:id="6" w:name="_Toc5600"/>
      <w:bookmarkStart w:id="7" w:name="_Toc22446"/>
      <w:bookmarkStart w:id="8" w:name="_Toc31407"/>
      <w:bookmarkStart w:id="9" w:name="_Toc11317"/>
      <w:r>
        <w:rPr>
          <w:rFonts w:ascii="Times New Roman" w:hAnsi="Times New Roman" w:eastAsia="仿宋_GB2312" w:cs="Times New Roman"/>
          <w:b/>
          <w:bCs w:val="0"/>
        </w:rPr>
        <w:t>附录</w:t>
      </w:r>
      <w:r>
        <w:rPr>
          <w:rFonts w:hint="eastAsia" w:ascii="Times New Roman" w:hAnsi="Times New Roman" w:eastAsia="仿宋_GB2312" w:cs="Times New Roman"/>
          <w:b/>
          <w:bCs w:val="0"/>
        </w:rPr>
        <w:t>1</w:t>
      </w:r>
      <w:r>
        <w:rPr>
          <w:rFonts w:ascii="Times New Roman" w:hAnsi="Times New Roman" w:eastAsia="仿宋_GB2312" w:cs="Times New Roman"/>
          <w:b/>
          <w:bCs w:val="0"/>
        </w:rPr>
        <w:t xml:space="preserve">  </w:t>
      </w:r>
      <w:bookmarkStart w:id="10" w:name="_Hlk132441770"/>
      <w:r>
        <w:rPr>
          <w:rFonts w:ascii="Times New Roman" w:hAnsi="Times New Roman" w:eastAsia="仿宋_GB2312" w:cs="Times New Roman"/>
          <w:b/>
          <w:bCs w:val="0"/>
        </w:rPr>
        <w:t>广州市主要造林树种</w:t>
      </w:r>
      <w:bookmarkEnd w:id="5"/>
      <w:bookmarkEnd w:id="6"/>
      <w:bookmarkEnd w:id="7"/>
      <w:bookmarkEnd w:id="8"/>
      <w:bookmarkEnd w:id="9"/>
      <w:bookmarkEnd w:id="10"/>
      <w:r>
        <w:rPr>
          <w:rFonts w:ascii="Times New Roman" w:hAnsi="Times New Roman" w:eastAsia="仿宋_GB2312" w:cs="Times New Roman"/>
          <w:b/>
          <w:bCs w:val="0"/>
        </w:rPr>
        <w:t>适应性评价与应用指引</w:t>
      </w:r>
    </w:p>
    <w:tbl>
      <w:tblPr>
        <w:tblStyle w:val="18"/>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3"/>
        <w:gridCol w:w="1484"/>
        <w:gridCol w:w="1771"/>
        <w:gridCol w:w="1079"/>
        <w:gridCol w:w="2443"/>
        <w:gridCol w:w="1131"/>
        <w:gridCol w:w="1069"/>
        <w:gridCol w:w="1040"/>
        <w:gridCol w:w="1980"/>
        <w:gridCol w:w="1168"/>
        <w:gridCol w:w="1378"/>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blHeader/>
        </w:trPr>
        <w:tc>
          <w:tcPr>
            <w:tcW w:w="187" w:type="pct"/>
            <w:shd w:val="clear" w:color="auto" w:fill="D7D7D7"/>
            <w:noWrap/>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序号</w:t>
            </w:r>
          </w:p>
        </w:tc>
        <w:tc>
          <w:tcPr>
            <w:tcW w:w="461"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树种</w:t>
            </w:r>
          </w:p>
        </w:tc>
        <w:tc>
          <w:tcPr>
            <w:tcW w:w="550"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学名</w:t>
            </w:r>
          </w:p>
        </w:tc>
        <w:tc>
          <w:tcPr>
            <w:tcW w:w="335"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科属</w:t>
            </w:r>
          </w:p>
        </w:tc>
        <w:tc>
          <w:tcPr>
            <w:tcW w:w="758"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主要特性</w:t>
            </w:r>
          </w:p>
        </w:tc>
        <w:tc>
          <w:tcPr>
            <w:tcW w:w="351" w:type="pct"/>
            <w:shd w:val="clear" w:color="auto" w:fill="D7D7D7"/>
            <w:vAlign w:val="center"/>
          </w:tcPr>
          <w:p>
            <w:pPr>
              <w:widowControl/>
              <w:adjustRightInd w:val="0"/>
              <w:snapToGrid w:val="0"/>
              <w:jc w:val="center"/>
              <w:textAlignment w:val="center"/>
              <w:rPr>
                <w:rStyle w:val="65"/>
                <w:rFonts w:ascii="Times New Roman" w:hAnsi="Times New Roman" w:cs="Times New Roman"/>
                <w:sz w:val="24"/>
                <w:szCs w:val="24"/>
                <w:lang w:bidi="ar"/>
              </w:rPr>
            </w:pPr>
            <w:r>
              <w:rPr>
                <w:rStyle w:val="65"/>
                <w:rFonts w:ascii="Times New Roman" w:hAnsi="Times New Roman" w:cs="Times New Roman"/>
                <w:sz w:val="24"/>
                <w:szCs w:val="24"/>
                <w:lang w:bidi="ar"/>
              </w:rPr>
              <w:t>耐干旱</w:t>
            </w:r>
          </w:p>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瘠薄</w:t>
            </w:r>
          </w:p>
        </w:tc>
        <w:tc>
          <w:tcPr>
            <w:tcW w:w="332"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耐荫性</w:t>
            </w:r>
          </w:p>
        </w:tc>
        <w:tc>
          <w:tcPr>
            <w:tcW w:w="323"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耐寒性</w:t>
            </w:r>
          </w:p>
        </w:tc>
        <w:tc>
          <w:tcPr>
            <w:tcW w:w="615"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lang w:bidi="ar"/>
              </w:rPr>
            </w:pPr>
            <w:r>
              <w:rPr>
                <w:rStyle w:val="65"/>
                <w:rFonts w:ascii="Times New Roman" w:hAnsi="Times New Roman" w:cs="Times New Roman"/>
                <w:sz w:val="24"/>
                <w:szCs w:val="24"/>
                <w:lang w:bidi="ar"/>
              </w:rPr>
              <w:t>应用类型</w:t>
            </w:r>
          </w:p>
        </w:tc>
        <w:tc>
          <w:tcPr>
            <w:tcW w:w="363"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Style w:val="65"/>
                <w:rFonts w:ascii="Times New Roman" w:hAnsi="Times New Roman" w:cs="Times New Roman"/>
                <w:sz w:val="24"/>
                <w:szCs w:val="24"/>
                <w:lang w:bidi="ar"/>
              </w:rPr>
              <w:t>配置类型</w:t>
            </w:r>
          </w:p>
        </w:tc>
        <w:tc>
          <w:tcPr>
            <w:tcW w:w="428"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应用立地</w:t>
            </w:r>
          </w:p>
        </w:tc>
        <w:tc>
          <w:tcPr>
            <w:tcW w:w="293" w:type="pct"/>
            <w:shd w:val="clear" w:color="auto" w:fill="D7D7D7"/>
            <w:vAlign w:val="center"/>
          </w:tcPr>
          <w:p>
            <w:pPr>
              <w:widowControl/>
              <w:adjustRightInd w:val="0"/>
              <w:snapToGrid w:val="0"/>
              <w:jc w:val="center"/>
              <w:textAlignment w:val="center"/>
              <w:rPr>
                <w:rFonts w:ascii="Times New Roman" w:hAnsi="Times New Roman" w:eastAsia="仿宋_GB2312" w:cs="Times New Roman"/>
                <w:b/>
                <w:bCs/>
                <w:color w:val="000000"/>
                <w:kern w:val="0"/>
                <w:sz w:val="24"/>
                <w:szCs w:val="24"/>
                <w:lang w:bidi="ar"/>
              </w:rPr>
            </w:pPr>
            <w:r>
              <w:rPr>
                <w:rFonts w:ascii="Times New Roman" w:hAnsi="Times New Roman" w:eastAsia="仿宋_GB2312" w:cs="Times New Roman"/>
                <w:b/>
                <w:bCs/>
                <w:color w:val="000000"/>
                <w:kern w:val="0"/>
                <w:sz w:val="24"/>
                <w:szCs w:val="24"/>
                <w:lang w:bidi="ar"/>
              </w:rPr>
              <w:t>应用</w:t>
            </w:r>
          </w:p>
          <w:p>
            <w:pPr>
              <w:widowControl/>
              <w:adjustRightInd w:val="0"/>
              <w:snapToGrid w:val="0"/>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水松</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Glyptostrobus pensilis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水松属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半落叶树种，干形通直，耐水湿，慢生树种，国家一级保护植物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堤岸防护林、湿地景观林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落羽杉</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Taxodium distichum</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落羽杉属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落叶树种，干形通直，耐水湿，中生树种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堤岸防护林、湿地景观林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池杉</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 xml:space="preserve">Taxodium distichum </w:t>
            </w:r>
            <w:r>
              <w:rPr>
                <w:rStyle w:val="66"/>
                <w:rFonts w:eastAsia="仿宋_GB2312"/>
                <w:sz w:val="24"/>
                <w:szCs w:val="24"/>
                <w:lang w:bidi="ar"/>
              </w:rPr>
              <w:t>var</w:t>
            </w:r>
            <w:r>
              <w:rPr>
                <w:rFonts w:ascii="Times New Roman" w:hAnsi="Times New Roman" w:eastAsia="仿宋_GB2312" w:cs="Times New Roman"/>
                <w:i/>
                <w:iCs/>
                <w:color w:val="000000"/>
                <w:kern w:val="0"/>
                <w:sz w:val="24"/>
                <w:szCs w:val="24"/>
                <w:lang w:bidi="ar"/>
              </w:rPr>
              <w:t>. imbricatum</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落羽杉属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落叶树种，干形通直，耐水湿，中生树种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堤岸防护林、湿地景观林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杉木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Cunninghamia lanceolata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杉木属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水杉</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Metasequoia glyptostroboides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柏科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水杉属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落叶树种，干形通直，耐水湿，中生树种，国家一级保护植物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堤岸防护林、湿地景观林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长叶竹柏</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Nageia fleuryi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罗汉松科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竹柏属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常绿树种，干形通直，慢生树种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火力楠</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（醉香含笑）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Michelia macclurei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木兰科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含笑属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color w:val="000000"/>
                <w:kern w:val="0"/>
                <w:sz w:val="24"/>
                <w:szCs w:val="24"/>
                <w:lang w:bidi="ar"/>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用材林、景观林、康养林、防火林带</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乐昌含笑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Michelia chapensis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木兰科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含笑属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常绿树种，干形通直，</w:t>
            </w:r>
            <w:r>
              <w:rPr>
                <w:rFonts w:hint="eastAsia" w:ascii="Times New Roman" w:hAnsi="Times New Roman" w:eastAsia="仿宋_GB2312" w:cs="Times New Roman"/>
                <w:color w:val="000000"/>
                <w:kern w:val="0"/>
                <w:sz w:val="24"/>
                <w:szCs w:val="24"/>
                <w:lang w:bidi="ar"/>
              </w:rPr>
              <w:t>速</w:t>
            </w:r>
            <w:r>
              <w:rPr>
                <w:rFonts w:ascii="Times New Roman" w:hAnsi="Times New Roman" w:eastAsia="仿宋_GB2312" w:cs="Times New Roman"/>
                <w:color w:val="000000"/>
                <w:kern w:val="0"/>
                <w:sz w:val="24"/>
                <w:szCs w:val="24"/>
                <w:lang w:bidi="ar"/>
              </w:rPr>
              <w:t>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深山含笑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Michelia maudiae</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木兰科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含笑属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观光木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Michelia odora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木兰科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含笑属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color w:val="000000"/>
                <w:kern w:val="0"/>
                <w:sz w:val="24"/>
                <w:szCs w:val="24"/>
                <w:lang w:bidi="ar"/>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珍贵</w:t>
            </w:r>
            <w:r>
              <w:rPr>
                <w:rFonts w:ascii="Times New Roman" w:hAnsi="Times New Roman" w:eastAsia="仿宋_GB2312" w:cs="Times New Roman"/>
                <w:color w:val="000000"/>
                <w:kern w:val="0"/>
                <w:sz w:val="24"/>
                <w:szCs w:val="24"/>
                <w:lang w:bidi="ar"/>
              </w:rPr>
              <w:t>用材林、景观林、康养林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灰木莲</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Manglietia glauca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木兰科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木莲属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color w:val="000000"/>
                <w:kern w:val="0"/>
                <w:sz w:val="24"/>
                <w:szCs w:val="24"/>
                <w:lang w:bidi="ar"/>
              </w:rPr>
              <w:t>，干形通直，</w:t>
            </w:r>
            <w:r>
              <w:rPr>
                <w:rFonts w:hint="eastAsia" w:ascii="Times New Roman" w:hAnsi="Times New Roman" w:eastAsia="仿宋_GB2312" w:cs="Times New Roman"/>
                <w:color w:val="000000"/>
                <w:kern w:val="0"/>
                <w:sz w:val="24"/>
                <w:szCs w:val="24"/>
                <w:lang w:bidi="ar"/>
              </w:rPr>
              <w:t>速</w:t>
            </w:r>
            <w:r>
              <w:rPr>
                <w:rFonts w:ascii="Times New Roman" w:hAnsi="Times New Roman" w:eastAsia="仿宋_GB2312" w:cs="Times New Roman"/>
                <w:color w:val="000000"/>
                <w:kern w:val="0"/>
                <w:sz w:val="24"/>
                <w:szCs w:val="24"/>
                <w:lang w:bidi="ar"/>
              </w:rPr>
              <w:t>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樟树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Camphora officinarum</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樟属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color w:val="000000"/>
                <w:kern w:val="0"/>
                <w:sz w:val="24"/>
                <w:szCs w:val="24"/>
                <w:lang w:bidi="ar"/>
              </w:rPr>
              <w:t>，干形一般，</w:t>
            </w:r>
            <w:r>
              <w:rPr>
                <w:rFonts w:hint="eastAsia" w:ascii="Times New Roman" w:hAnsi="Times New Roman" w:eastAsia="仿宋_GB2312" w:cs="Times New Roman"/>
                <w:color w:val="000000"/>
                <w:kern w:val="0"/>
                <w:sz w:val="24"/>
                <w:szCs w:val="24"/>
                <w:lang w:bidi="ar"/>
              </w:rPr>
              <w:t>中</w:t>
            </w:r>
            <w:r>
              <w:rPr>
                <w:rFonts w:ascii="Times New Roman" w:hAnsi="Times New Roman" w:eastAsia="仿宋_GB2312" w:cs="Times New Roman"/>
                <w:color w:val="000000"/>
                <w:kern w:val="0"/>
                <w:sz w:val="24"/>
                <w:szCs w:val="24"/>
                <w:lang w:bidi="ar"/>
              </w:rPr>
              <w:t>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用材林、经济林、景观林、康养林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黄樟</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Camphora parthenoxylon</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樟属</w:t>
            </w:r>
          </w:p>
        </w:tc>
        <w:tc>
          <w:tcPr>
            <w:tcW w:w="758" w:type="pct"/>
            <w:shd w:val="clear" w:color="auto" w:fill="auto"/>
            <w:vAlign w:val="center"/>
          </w:tcPr>
          <w:p>
            <w:pPr>
              <w:widowControl/>
              <w:adjustRightInd w:val="0"/>
              <w:snapToGrid w:val="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color w:val="000000"/>
                <w:kern w:val="0"/>
                <w:sz w:val="24"/>
                <w:szCs w:val="24"/>
                <w:lang w:bidi="ar"/>
              </w:rPr>
              <w:t>，干形一般，</w:t>
            </w:r>
            <w:r>
              <w:rPr>
                <w:rFonts w:hint="eastAsia" w:ascii="Times New Roman" w:hAnsi="Times New Roman" w:eastAsia="仿宋_GB2312" w:cs="Times New Roman"/>
                <w:color w:val="000000"/>
                <w:kern w:val="0"/>
                <w:sz w:val="24"/>
                <w:szCs w:val="24"/>
                <w:lang w:bidi="ar"/>
              </w:rPr>
              <w:t>速</w:t>
            </w:r>
            <w:r>
              <w:rPr>
                <w:rFonts w:ascii="Times New Roman" w:hAnsi="Times New Roman" w:eastAsia="仿宋_GB2312" w:cs="Times New Roman"/>
                <w:color w:val="000000"/>
                <w:kern w:val="0"/>
                <w:sz w:val="24"/>
                <w:szCs w:val="24"/>
                <w:lang w:bidi="ar"/>
              </w:rPr>
              <w:t>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防护林、</w:t>
            </w:r>
            <w:r>
              <w:rPr>
                <w:rFonts w:ascii="Times New Roman" w:hAnsi="Times New Roman" w:eastAsia="仿宋_GB2312" w:cs="Times New Roman"/>
                <w:color w:val="000000"/>
                <w:kern w:val="0"/>
                <w:sz w:val="24"/>
                <w:szCs w:val="24"/>
                <w:lang w:bidi="ar"/>
              </w:rPr>
              <w:t>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假柿木姜子</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Litsea monopetala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木姜子属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防护林、</w:t>
            </w: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中下坡、土层&gt;41cm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闽楠</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Phoebe bournei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楠属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，干形通直，慢生树种，国家二级保护植物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桢楠</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Phoebe zhennan</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楠属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，干形通直，慢生树种，国家二级保护植物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珍贵用材林、景观兼生态林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阴香</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Cinnamomum burmanni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桂属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景观林、康养林、经济林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华润楠</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Machilus chinensis</w:t>
            </w:r>
            <w:r>
              <w:rPr>
                <w:rFonts w:ascii="Times New Roman" w:hAnsi="Times New Roman" w:eastAsia="仿宋_GB2312" w:cs="Times New Roman"/>
                <w:color w:val="000000"/>
                <w:kern w:val="0"/>
                <w:sz w:val="24"/>
                <w:szCs w:val="24"/>
                <w:lang w:bidi="ar"/>
              </w:rPr>
              <w:t>.</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润楠属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19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浙江润楠</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Machilus chekiangensis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润楠属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土沉香</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Aquilaria sinensis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瑞香科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沉香属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，干形一般，中生树种，国家二级保护植物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红花天料木</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（母生）</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Homalium hainanense</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大风子科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天料木属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珍贵用材林、景观林、沿海防护林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南山茶</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（广宁红花油茶）</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Camellia semiserrata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山茶科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山茶属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经济林、景观林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全坡，经济林宜中下坡、土层&gt;40cm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木荷</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Schima superba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山茶科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木荷属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用材林、景观林、防火林带</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青皮</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（青梅）</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Vatica mangachapoi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龙脑香科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青梅属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r>
              <w:rPr>
                <w:rFonts w:hint="eastAsia" w:ascii="Times New Roman" w:hAnsi="Times New Roman" w:eastAsia="仿宋_GB2312" w:cs="Times New Roman"/>
                <w:sz w:val="24"/>
                <w:szCs w:val="24"/>
              </w:rPr>
              <w:t>、沿海防护林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坡垒</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Hopea hainanensis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龙脑香科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坡垒属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，干形通直，中生树种，国家一级保护植物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水翁</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Syzygium nervosum</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桃金娘科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蒲桃属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常绿树种，干形较差，耐水湿，慢生树种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堤岸防护林、湿地景观林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乌墨</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（海南蒲桃）</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Syzygium cumini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桃金娘科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蒲桃属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铁力木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Mesua ferrea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藤黄科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铁力木属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珍贵用材领，景观林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29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山杜英</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333333"/>
                <w:sz w:val="24"/>
                <w:szCs w:val="24"/>
              </w:rPr>
            </w:pPr>
            <w:r>
              <w:rPr>
                <w:rFonts w:ascii="Times New Roman" w:hAnsi="Times New Roman" w:eastAsia="仿宋_GB2312" w:cs="Times New Roman"/>
                <w:i/>
                <w:iCs/>
                <w:color w:val="333333"/>
                <w:kern w:val="0"/>
                <w:sz w:val="24"/>
                <w:szCs w:val="24"/>
                <w:lang w:bidi="ar"/>
              </w:rPr>
              <w:t>Elaeocarpus sylvestris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杜英科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杜英属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常绿或半落叶树种，干形一般，中生树种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银叶树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Heritiera littoralis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锦葵科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银叶树属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常绿树种，干形较差，耐盐碱、耐水湿，半红树、慢生树种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沿海防护林、景观林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乌桕</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Triadica sebifera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大戟科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乌桕属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r>
              <w:rPr>
                <w:rFonts w:hint="eastAsia" w:ascii="Times New Roman" w:hAnsi="Times New Roman" w:eastAsia="仿宋_GB2312" w:cs="Times New Roman"/>
                <w:sz w:val="24"/>
                <w:szCs w:val="24"/>
              </w:rPr>
              <w:t>、防护林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32</w:t>
            </w:r>
          </w:p>
        </w:tc>
        <w:tc>
          <w:tcPr>
            <w:tcW w:w="46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木油桐</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（千年桐）</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Vernicia montana</w:t>
            </w:r>
          </w:p>
        </w:tc>
        <w:tc>
          <w:tcPr>
            <w:tcW w:w="335"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大戟科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油桐属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黄桐</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Endospermum chinense</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大戟科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黄桐属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臀果木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Pygeum topengii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蔷薇科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臀果木属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台湾相思</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Acacia confusa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含羞草科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金合欢属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常绿树种，干形较差，慢生树种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黑木相思</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Acacia melanoxylon</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含羞草科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金合欢属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任豆</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Zenia insignis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苏木科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任豆属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Erythrophleum fordii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苏木科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，干形一般，中生树种，国家二级保护植物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r>
              <w:rPr>
                <w:rFonts w:hint="eastAsia" w:ascii="Times New Roman" w:hAnsi="Times New Roman" w:eastAsia="仿宋_GB2312" w:cs="Times New Roman"/>
                <w:sz w:val="24"/>
                <w:szCs w:val="24"/>
              </w:rPr>
              <w:t>、防护林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39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铁刀木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Senna siamea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苏木科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决明属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常绿</w:t>
            </w:r>
            <w:r>
              <w:rPr>
                <w:rFonts w:ascii="Times New Roman" w:hAnsi="Times New Roman" w:eastAsia="仿宋_GB2312" w:cs="Times New Roman"/>
                <w:sz w:val="24"/>
                <w:szCs w:val="24"/>
              </w:rPr>
              <w:t>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中国无忧花</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Saraca dives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苏木科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无忧花属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下坡、土层&gt;80cm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仪花</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Lysidice rhodostegia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苏木科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仪花属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r>
              <w:rPr>
                <w:rFonts w:hint="eastAsia" w:ascii="Times New Roman" w:hAnsi="Times New Roman" w:eastAsia="仿宋_GB2312" w:cs="Times New Roman"/>
                <w:sz w:val="24"/>
                <w:szCs w:val="24"/>
              </w:rPr>
              <w:t>防护</w:t>
            </w:r>
            <w:r>
              <w:rPr>
                <w:rFonts w:ascii="Times New Roman" w:hAnsi="Times New Roman" w:eastAsia="仿宋_GB2312" w:cs="Times New Roman"/>
                <w:sz w:val="24"/>
                <w:szCs w:val="24"/>
              </w:rPr>
              <w:t>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降香黄檀</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Dalbergia odorifera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蝶形花科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黄檀属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落叶半落叶树种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，干形较差，慢生树种，国家二级保护植物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珍贵用材林、防护林</w:t>
            </w:r>
            <w:r>
              <w:rPr>
                <w:rFonts w:hint="eastAsia"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交趾黄檀</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Dalbergia cochinchinensis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蝶形花科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黄檀属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落叶半落叶树种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w:t>
            </w:r>
            <w:r>
              <w:rPr>
                <w:rFonts w:hint="eastAsia"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44</w:t>
            </w:r>
          </w:p>
        </w:tc>
        <w:tc>
          <w:tcPr>
            <w:tcW w:w="46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花榈木</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Ormosia henryi</w:t>
            </w:r>
          </w:p>
        </w:tc>
        <w:tc>
          <w:tcPr>
            <w:tcW w:w="335"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蝶形花科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红豆属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，干形一般，中生树种</w:t>
            </w:r>
          </w:p>
        </w:tc>
        <w:tc>
          <w:tcPr>
            <w:tcW w:w="35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45</w:t>
            </w:r>
          </w:p>
        </w:tc>
        <w:tc>
          <w:tcPr>
            <w:tcW w:w="46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333333"/>
                <w:sz w:val="24"/>
                <w:szCs w:val="24"/>
              </w:rPr>
            </w:pPr>
            <w:r>
              <w:rPr>
                <w:rFonts w:ascii="Times New Roman" w:hAnsi="Times New Roman" w:eastAsia="仿宋_GB2312" w:cs="Times New Roman"/>
                <w:color w:val="000000"/>
                <w:kern w:val="0"/>
                <w:sz w:val="24"/>
                <w:szCs w:val="24"/>
                <w:lang w:bidi="ar"/>
              </w:rPr>
              <w:t>木荚红豆</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Ormosia xylocarpa</w:t>
            </w:r>
          </w:p>
        </w:tc>
        <w:tc>
          <w:tcPr>
            <w:tcW w:w="335"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蝶形花科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红豆属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w:t>
            </w:r>
            <w:r>
              <w:rPr>
                <w:rFonts w:hint="eastAsia" w:ascii="Times New Roman" w:hAnsi="Times New Roman" w:eastAsia="仿宋_GB2312" w:cs="Times New Roman"/>
                <w:sz w:val="24"/>
                <w:szCs w:val="24"/>
              </w:rPr>
              <w:t>中</w:t>
            </w:r>
            <w:r>
              <w:rPr>
                <w:rFonts w:ascii="Times New Roman" w:hAnsi="Times New Roman" w:eastAsia="仿宋_GB2312" w:cs="Times New Roman"/>
                <w:sz w:val="24"/>
                <w:szCs w:val="24"/>
              </w:rPr>
              <w:t>生树种</w:t>
            </w:r>
          </w:p>
        </w:tc>
        <w:tc>
          <w:tcPr>
            <w:tcW w:w="35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w:t>
            </w:r>
            <w:r>
              <w:rPr>
                <w:rFonts w:hint="eastAsia"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全坡，用材林宜中下坡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水黄皮</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Pongamia pinnata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蝶形花科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水黄皮属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常绿树种，干形较差，耐轻盐碱、耐水湿，半红树、慢生树种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沿海防护林、景观林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水边、湿润土壤</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木麻黄</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333333"/>
                <w:sz w:val="24"/>
                <w:szCs w:val="24"/>
              </w:rPr>
            </w:pPr>
            <w:r>
              <w:rPr>
                <w:rFonts w:ascii="Times New Roman" w:hAnsi="Times New Roman" w:eastAsia="仿宋_GB2312" w:cs="Times New Roman"/>
                <w:i/>
                <w:iCs/>
                <w:color w:val="000000"/>
                <w:kern w:val="0"/>
                <w:sz w:val="24"/>
                <w:szCs w:val="24"/>
                <w:lang w:bidi="ar"/>
              </w:rPr>
              <w:t>Casuarina equisetifolia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木麻黄科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木麻黄属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红花荷</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Rhodoleia championi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金缕梅科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红花荷属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景观林、用材林</w:t>
            </w:r>
            <w:r>
              <w:rPr>
                <w:rFonts w:hint="eastAsia" w:ascii="Times New Roman" w:hAnsi="Times New Roman" w:eastAsia="仿宋_GB2312" w:cs="Times New Roman"/>
                <w:sz w:val="24"/>
                <w:szCs w:val="24"/>
              </w:rPr>
              <w:t>、防护林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49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枫香</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Liquidambar formosana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金缕梅科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枫香树属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景观林、用材林</w:t>
            </w:r>
            <w:r>
              <w:rPr>
                <w:rFonts w:hint="eastAsia" w:ascii="Times New Roman" w:hAnsi="Times New Roman" w:eastAsia="仿宋_GB2312" w:cs="Times New Roman"/>
                <w:sz w:val="24"/>
                <w:szCs w:val="24"/>
              </w:rPr>
              <w:t>、防护林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米老排</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Mytilaria laosensis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金缕梅科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壳菜果属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用材林、防护林、景观林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杨梅</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Myrica rubra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杨梅科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杨梅属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经济林、防火林、景观林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西南桦</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Betula alnoides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桦木科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桦木属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半落叶树种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红锥</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Castanopsis hystrix</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锥属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w:t>
            </w:r>
            <w:r>
              <w:rPr>
                <w:rFonts w:hint="eastAsia" w:ascii="Times New Roman" w:hAnsi="Times New Roman" w:eastAsia="仿宋_GB2312" w:cs="Times New Roman"/>
                <w:sz w:val="24"/>
                <w:szCs w:val="24"/>
              </w:rPr>
              <w:t>速</w:t>
            </w:r>
            <w:r>
              <w:rPr>
                <w:rFonts w:ascii="Times New Roman" w:hAnsi="Times New Roman" w:eastAsia="仿宋_GB2312" w:cs="Times New Roman"/>
                <w:sz w:val="24"/>
                <w:szCs w:val="24"/>
              </w:rPr>
              <w:t>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米槠</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Castanopsis carlesii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锥属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中华锥</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Castanopsis chinensis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锥属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56</w:t>
            </w:r>
          </w:p>
        </w:tc>
        <w:tc>
          <w:tcPr>
            <w:tcW w:w="461"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吊皮锥</w:t>
            </w:r>
          </w:p>
        </w:tc>
        <w:tc>
          <w:tcPr>
            <w:tcW w:w="550" w:type="pct"/>
            <w:shd w:val="clear" w:color="auto" w:fill="auto"/>
            <w:noWrap/>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i/>
                <w:iCs/>
                <w:color w:val="000000"/>
                <w:kern w:val="0"/>
                <w:sz w:val="24"/>
                <w:szCs w:val="24"/>
                <w:lang w:bidi="ar"/>
              </w:rPr>
              <w:t>Castanopsis kawakamii</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锥属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黧蒴</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Castanopsis fissa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锥属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全坡</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青冈</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Quercus glauca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栎属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59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槟榔青冈</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Quercus bella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栎属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赤皮青冈</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Quercus gilva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壳斗科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栎属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建群/辅助树种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61</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楝叶吴萸</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Tetradium glabrifolium</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芸香科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吴茱萸属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景观林、防护林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62</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铁冬青</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Ilex rotunda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冬青科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冬青属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63</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白颜树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Gironniera subaequalis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榆科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白颜树属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64</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麻楝</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Chukrasia tabularis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楝科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麻楝属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常绿树种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65</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香椿</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Toona sinensis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楝科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香椿属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落叶半落叶树种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66</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红椿</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Toona ciliata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楝科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香椿属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落叶半落叶树种</w:t>
            </w:r>
            <w:r>
              <w:rPr>
                <w:rFonts w:hint="eastAsia" w:ascii="Times New Roman" w:hAnsi="Times New Roman" w:eastAsia="仿宋_GB2312" w:cs="Times New Roman"/>
                <w:color w:val="000000"/>
                <w:kern w:val="0"/>
                <w:sz w:val="24"/>
                <w:szCs w:val="24"/>
                <w:lang w:bidi="ar"/>
              </w:rPr>
              <w:t>，珍贵树种</w:t>
            </w:r>
            <w:r>
              <w:rPr>
                <w:rFonts w:ascii="Times New Roman" w:hAnsi="Times New Roman" w:eastAsia="仿宋_GB2312" w:cs="Times New Roman"/>
                <w:sz w:val="24"/>
                <w:szCs w:val="24"/>
              </w:rPr>
              <w:t>，干形通直，中生树种，国家二级保护植物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珍贵用材林、景观林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67</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无患子</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Sapindus saponaria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无患子科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无患子属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经济林、景观林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68</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复羽叶栾</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Koelreuteria bipinnata</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无患子科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栾属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落叶树种，干形一般，中生树种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69</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伯乐树</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Bretschneidera sinensis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伯乐树科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伯乐树属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w:t>
            </w:r>
            <w:r>
              <w:rPr>
                <w:rFonts w:hint="eastAsia" w:ascii="Times New Roman" w:hAnsi="Times New Roman" w:eastAsia="仿宋_GB2312" w:cs="Times New Roman"/>
                <w:sz w:val="24"/>
                <w:szCs w:val="24"/>
              </w:rPr>
              <w:t>，珍贵树种</w:t>
            </w:r>
            <w:r>
              <w:rPr>
                <w:rFonts w:ascii="Times New Roman" w:hAnsi="Times New Roman" w:eastAsia="仿宋_GB2312" w:cs="Times New Roman"/>
                <w:sz w:val="24"/>
                <w:szCs w:val="24"/>
              </w:rPr>
              <w:t>，干形通直，中生树种，国家二级保护植物</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景观林、珍贵用材林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 w:hRule="atLeast"/>
        </w:trPr>
        <w:tc>
          <w:tcPr>
            <w:tcW w:w="187"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70</w:t>
            </w:r>
          </w:p>
        </w:tc>
        <w:tc>
          <w:tcPr>
            <w:tcW w:w="46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南酸枣</w:t>
            </w:r>
          </w:p>
        </w:tc>
        <w:tc>
          <w:tcPr>
            <w:tcW w:w="550" w:type="pct"/>
            <w:shd w:val="clear" w:color="auto" w:fill="auto"/>
            <w:vAlign w:val="center"/>
          </w:tcPr>
          <w:p>
            <w:pPr>
              <w:widowControl/>
              <w:adjustRightInd w:val="0"/>
              <w:snapToGrid w:val="0"/>
              <w:jc w:val="center"/>
              <w:textAlignment w:val="center"/>
              <w:rPr>
                <w:rFonts w:ascii="Times New Roman" w:hAnsi="Times New Roman" w:eastAsia="仿宋_GB2312" w:cs="Times New Roman"/>
                <w:i/>
                <w:iCs/>
                <w:color w:val="000000"/>
                <w:sz w:val="24"/>
                <w:szCs w:val="24"/>
              </w:rPr>
            </w:pPr>
            <w:r>
              <w:rPr>
                <w:rFonts w:ascii="Times New Roman" w:hAnsi="Times New Roman" w:eastAsia="仿宋_GB2312" w:cs="Times New Roman"/>
                <w:i/>
                <w:iCs/>
                <w:color w:val="000000"/>
                <w:kern w:val="0"/>
                <w:sz w:val="24"/>
                <w:szCs w:val="24"/>
                <w:lang w:bidi="ar"/>
              </w:rPr>
              <w:t>Choerospondias axillaris</w:t>
            </w:r>
          </w:p>
        </w:tc>
        <w:tc>
          <w:tcPr>
            <w:tcW w:w="335"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漆树科</w:t>
            </w:r>
          </w:p>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南酸枣属</w:t>
            </w:r>
          </w:p>
        </w:tc>
        <w:tc>
          <w:tcPr>
            <w:tcW w:w="758" w:type="pct"/>
            <w:shd w:val="clear" w:color="auto" w:fill="auto"/>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落叶树种</w:t>
            </w:r>
            <w:r>
              <w:rPr>
                <w:rFonts w:hint="eastAsia" w:ascii="Times New Roman" w:hAnsi="Times New Roman" w:eastAsia="仿宋_GB2312" w:cs="Times New Roman"/>
                <w:sz w:val="24"/>
                <w:szCs w:val="24"/>
              </w:rPr>
              <w:t>，珍贵树种</w:t>
            </w:r>
            <w:r>
              <w:rPr>
                <w:rFonts w:ascii="Times New Roman" w:hAnsi="Times New Roman" w:eastAsia="仿宋_GB2312" w:cs="Times New Roman"/>
                <w:sz w:val="24"/>
                <w:szCs w:val="24"/>
              </w:rPr>
              <w:t>，干形通直，速生树种</w:t>
            </w:r>
          </w:p>
        </w:tc>
        <w:tc>
          <w:tcPr>
            <w:tcW w:w="351"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w:t>
            </w:r>
          </w:p>
        </w:tc>
        <w:tc>
          <w:tcPr>
            <w:tcW w:w="332"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弱</w:t>
            </w:r>
          </w:p>
        </w:tc>
        <w:tc>
          <w:tcPr>
            <w:tcW w:w="32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强</w:t>
            </w:r>
          </w:p>
        </w:tc>
        <w:tc>
          <w:tcPr>
            <w:tcW w:w="615" w:type="pct"/>
            <w:shd w:val="clear" w:color="auto" w:fill="auto"/>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防护林、用材林</w:t>
            </w:r>
          </w:p>
        </w:tc>
        <w:tc>
          <w:tcPr>
            <w:tcW w:w="36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w:t>
            </w:r>
          </w:p>
        </w:tc>
        <w:tc>
          <w:tcPr>
            <w:tcW w:w="428"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中下坡、土层&gt;40cm</w:t>
            </w:r>
          </w:p>
        </w:tc>
        <w:tc>
          <w:tcPr>
            <w:tcW w:w="293" w:type="pct"/>
            <w:shd w:val="clear" w:color="auto" w:fill="auto"/>
            <w:vAlign w:val="center"/>
          </w:tcPr>
          <w:p>
            <w:pPr>
              <w:widowControl/>
              <w:adjustRightInd w:val="0"/>
              <w:snapToGrid w:val="0"/>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中、北部</w:t>
            </w:r>
          </w:p>
        </w:tc>
      </w:tr>
    </w:tbl>
    <w:p>
      <w:pPr>
        <w:widowControl/>
        <w:adjustRightInd w:val="0"/>
        <w:snapToGrid w:val="0"/>
        <w:jc w:val="center"/>
        <w:textAlignment w:val="center"/>
        <w:rPr>
          <w:rFonts w:ascii="Times New Roman" w:hAnsi="Times New Roman" w:eastAsia="仿宋_GB2312" w:cs="Times New Roman"/>
          <w:color w:val="000000"/>
          <w:kern w:val="0"/>
          <w:sz w:val="24"/>
          <w:szCs w:val="24"/>
          <w:lang w:bidi="ar"/>
        </w:rPr>
      </w:pPr>
    </w:p>
    <w:p>
      <w:pPr>
        <w:widowControl/>
        <w:jc w:val="left"/>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br w:type="page"/>
      </w:r>
    </w:p>
    <w:p>
      <w:pPr>
        <w:pStyle w:val="2"/>
        <w:adjustRightInd w:val="0"/>
        <w:snapToGrid w:val="0"/>
        <w:spacing w:after="156" w:afterLines="50" w:line="560" w:lineRule="exact"/>
        <w:rPr>
          <w:rFonts w:ascii="Times New Roman" w:hAnsi="Times New Roman" w:eastAsia="仿宋_GB2312" w:cs="Times New Roman"/>
          <w:b/>
          <w:bCs w:val="0"/>
        </w:rPr>
      </w:pPr>
      <w:r>
        <w:rPr>
          <w:rFonts w:ascii="Times New Roman" w:hAnsi="Times New Roman" w:eastAsia="仿宋_GB2312" w:cs="Times New Roman"/>
          <w:b/>
          <w:bCs w:val="0"/>
        </w:rPr>
        <w:t xml:space="preserve">附录2  </w:t>
      </w:r>
      <w:r>
        <w:rPr>
          <w:rFonts w:hint="eastAsia" w:ascii="Times New Roman" w:hAnsi="Times New Roman" w:eastAsia="仿宋_GB2312" w:cs="Times New Roman"/>
          <w:b/>
          <w:bCs w:val="0"/>
        </w:rPr>
        <w:t>建设类型与参考</w:t>
      </w:r>
      <w:r>
        <w:rPr>
          <w:rFonts w:ascii="Times New Roman" w:hAnsi="Times New Roman" w:eastAsia="仿宋_GB2312" w:cs="Times New Roman"/>
          <w:b/>
          <w:bCs w:val="0"/>
        </w:rPr>
        <w:t>树种</w:t>
      </w:r>
      <w:r>
        <w:rPr>
          <w:rFonts w:hint="eastAsia" w:ascii="Times New Roman" w:hAnsi="Times New Roman" w:eastAsia="仿宋_GB2312" w:cs="Times New Roman"/>
          <w:b/>
          <w:bCs w:val="0"/>
        </w:rPr>
        <w:t>配置</w:t>
      </w:r>
    </w:p>
    <w:tbl>
      <w:tblPr>
        <w:tblStyle w:val="18"/>
        <w:tblW w:w="5000" w:type="pct"/>
        <w:tblInd w:w="0" w:type="dxa"/>
        <w:tblLayout w:type="fixed"/>
        <w:tblCellMar>
          <w:top w:w="0" w:type="dxa"/>
          <w:left w:w="108" w:type="dxa"/>
          <w:bottom w:w="0" w:type="dxa"/>
          <w:right w:w="108" w:type="dxa"/>
        </w:tblCellMar>
      </w:tblPr>
      <w:tblGrid>
        <w:gridCol w:w="707"/>
        <w:gridCol w:w="978"/>
        <w:gridCol w:w="1502"/>
        <w:gridCol w:w="2596"/>
        <w:gridCol w:w="4478"/>
        <w:gridCol w:w="2306"/>
        <w:gridCol w:w="3578"/>
      </w:tblGrid>
      <w:tr>
        <w:tblPrEx>
          <w:tblCellMar>
            <w:top w:w="0" w:type="dxa"/>
            <w:left w:w="108" w:type="dxa"/>
            <w:bottom w:w="0" w:type="dxa"/>
            <w:right w:w="108" w:type="dxa"/>
          </w:tblCellMar>
        </w:tblPrEx>
        <w:trPr>
          <w:trHeight w:val="680" w:hRule="atLeast"/>
          <w:tblHeader/>
        </w:trPr>
        <w:tc>
          <w:tcPr>
            <w:tcW w:w="522" w:type="pct"/>
            <w:gridSpan w:val="2"/>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建设类型</w:t>
            </w:r>
          </w:p>
        </w:tc>
        <w:tc>
          <w:tcPr>
            <w:tcW w:w="465" w:type="pct"/>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立地</w:t>
            </w:r>
          </w:p>
        </w:tc>
        <w:tc>
          <w:tcPr>
            <w:tcW w:w="804" w:type="pct"/>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建群树种</w:t>
            </w:r>
          </w:p>
        </w:tc>
        <w:tc>
          <w:tcPr>
            <w:tcW w:w="1386" w:type="pct"/>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辅助树种</w:t>
            </w:r>
          </w:p>
        </w:tc>
        <w:tc>
          <w:tcPr>
            <w:tcW w:w="714" w:type="pct"/>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建设目标</w:t>
            </w:r>
          </w:p>
        </w:tc>
        <w:tc>
          <w:tcPr>
            <w:tcW w:w="1109" w:type="pct"/>
            <w:tcBorders>
              <w:top w:val="single" w:color="000000" w:sz="8" w:space="0"/>
              <w:left w:val="single" w:color="000000" w:sz="8" w:space="0"/>
              <w:bottom w:val="single" w:color="000000" w:sz="8" w:space="0"/>
              <w:right w:val="single" w:color="000000" w:sz="8" w:space="0"/>
            </w:tcBorders>
            <w:shd w:val="clear" w:color="auto" w:fill="D7D7D7"/>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备注</w:t>
            </w:r>
          </w:p>
        </w:tc>
      </w:tr>
      <w:tr>
        <w:tblPrEx>
          <w:tblCellMar>
            <w:top w:w="0" w:type="dxa"/>
            <w:left w:w="108" w:type="dxa"/>
            <w:bottom w:w="0" w:type="dxa"/>
            <w:right w:w="108" w:type="dxa"/>
          </w:tblCellMar>
        </w:tblPrEx>
        <w:trPr>
          <w:trHeight w:val="1220" w:hRule="atLeast"/>
        </w:trPr>
        <w:tc>
          <w:tcPr>
            <w:tcW w:w="522" w:type="pct"/>
            <w:gridSpan w:val="2"/>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木材储备林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高（下坡）</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灰木莲、乐昌含笑、红锥+闽楠、桢楠、浙江润楠、观光木</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格木、降香黄檀、交趾黄檀、铁力木、樟树、土沉香、花榈木、伯乐树、木荚红豆+红花天料木、青皮、坡垒、乌墨</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长周期大径材林</w:t>
            </w:r>
          </w:p>
        </w:tc>
        <w:tc>
          <w:tcPr>
            <w:tcW w:w="110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适用更新造林或林窗面积1亩以上林地，以培育大径材林为主要目标，兼顾生态功能</w:t>
            </w:r>
            <w:r>
              <w:rPr>
                <w:rFonts w:hint="eastAsia" w:ascii="Times New Roman" w:hAnsi="Times New Roman" w:eastAsia="仿宋_GB2312" w:cs="Times New Roman"/>
                <w:color w:val="000000"/>
                <w:kern w:val="0"/>
                <w:sz w:val="24"/>
                <w:szCs w:val="24"/>
                <w:lang w:bidi="ar"/>
              </w:rPr>
              <w:t>；</w:t>
            </w:r>
            <w:r>
              <w:rPr>
                <w:rFonts w:ascii="Times New Roman" w:hAnsi="Times New Roman" w:eastAsia="仿宋_GB2312" w:cs="Times New Roman"/>
                <w:color w:val="000000"/>
                <w:kern w:val="0"/>
                <w:sz w:val="24"/>
                <w:szCs w:val="24"/>
                <w:lang w:bidi="ar"/>
              </w:rPr>
              <w:t>建议带状、块状或随机混交。</w:t>
            </w:r>
          </w:p>
        </w:tc>
      </w:tr>
      <w:tr>
        <w:tblPrEx>
          <w:tblCellMar>
            <w:top w:w="0" w:type="dxa"/>
            <w:left w:w="108" w:type="dxa"/>
            <w:bottom w:w="0" w:type="dxa"/>
            <w:right w:w="108" w:type="dxa"/>
          </w:tblCellMar>
        </w:tblPrEx>
        <w:trPr>
          <w:trHeight w:val="1220" w:hRule="atLeast"/>
        </w:trPr>
        <w:tc>
          <w:tcPr>
            <w:tcW w:w="522" w:type="pct"/>
            <w:gridSpan w:val="2"/>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高（中坡，土层＞80cm）</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红锥、米锥、米老排、铁刀木+闽楠、桢楠、浙江润楠、火力楠</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格木、华润楠、深山含笑、降香黄檀、交趾黄檀+木荷、中华锥、吊皮锥、青冈、槟榔青冈、赤皮青冈、香椿、红椿、麻楝</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中长周期大径材林</w:t>
            </w: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1220" w:hRule="atLeast"/>
        </w:trPr>
        <w:tc>
          <w:tcPr>
            <w:tcW w:w="522" w:type="pct"/>
            <w:gridSpan w:val="2"/>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中（中坡，土层≥40cm）</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黑木相思、西南桦、黄樟、枫香+闽楠、浙江润楠、火力楠</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木荷、格木、青冈、赤皮青冈+杉木、任豆、南酸枣、麻楝</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中短周期大径材林</w:t>
            </w: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1220" w:hRule="atLeast"/>
        </w:trPr>
        <w:tc>
          <w:tcPr>
            <w:tcW w:w="522"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生态景观林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高、中</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枫香、山杜英、楝叶吴萸+红花荷、火力楠、乐昌含笑、观光木、灰木莲</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中国无忧花、仪花、格木、杨梅、铁冬青、铁刀木、铁力木、南山茶、无患子、复羽叶栾、乌桕+木油桐、黄桐、黧蒴、阴香、香椿、红椿、麻楝</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以培育大尺度山地景观林为主要目标兼顾木材贮备和生态功能</w:t>
            </w:r>
          </w:p>
        </w:tc>
        <w:tc>
          <w:tcPr>
            <w:tcW w:w="1109"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根据地形和视角进行规划</w:t>
            </w:r>
            <w:r>
              <w:rPr>
                <w:rFonts w:hint="eastAsia" w:ascii="Times New Roman" w:hAnsi="Times New Roman" w:eastAsia="仿宋_GB2312" w:cs="Times New Roman"/>
                <w:color w:val="000000"/>
                <w:kern w:val="0"/>
                <w:sz w:val="24"/>
                <w:szCs w:val="24"/>
                <w:lang w:bidi="ar"/>
              </w:rPr>
              <w:t>；</w:t>
            </w:r>
            <w:r>
              <w:rPr>
                <w:rFonts w:ascii="Times New Roman" w:hAnsi="Times New Roman" w:eastAsia="仿宋_GB2312" w:cs="Times New Roman"/>
                <w:color w:val="000000"/>
                <w:kern w:val="0"/>
                <w:sz w:val="24"/>
                <w:szCs w:val="24"/>
                <w:lang w:bidi="ar"/>
              </w:rPr>
              <w:t>建议带状或块状种植。</w:t>
            </w:r>
          </w:p>
        </w:tc>
      </w:tr>
      <w:tr>
        <w:tblPrEx>
          <w:tblCellMar>
            <w:top w:w="0" w:type="dxa"/>
            <w:left w:w="108" w:type="dxa"/>
            <w:bottom w:w="0" w:type="dxa"/>
            <w:right w:w="108" w:type="dxa"/>
          </w:tblCellMar>
        </w:tblPrEx>
        <w:trPr>
          <w:trHeight w:val="1220" w:hRule="atLeast"/>
        </w:trPr>
        <w:tc>
          <w:tcPr>
            <w:tcW w:w="522"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困难立地造林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低</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木荷、火力楠、乐昌含笑、黄樟+台湾相思、黑木相思、任豆、南酸枣</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格木、红椎、青冈、槟榔青冈、赤皮青冈、降香黄檀、交趾黄檀+枫香、黧蒴、木油桐、黄桐</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以恢复地带性森林为主要目标，兼顾景观功能。</w:t>
            </w:r>
          </w:p>
        </w:tc>
        <w:tc>
          <w:tcPr>
            <w:tcW w:w="1109"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可适当增加树种选择范围；建议块状或随机混交。</w:t>
            </w:r>
          </w:p>
        </w:tc>
      </w:tr>
      <w:tr>
        <w:tblPrEx>
          <w:tblCellMar>
            <w:top w:w="0" w:type="dxa"/>
            <w:left w:w="108" w:type="dxa"/>
            <w:bottom w:w="0" w:type="dxa"/>
            <w:right w:w="108" w:type="dxa"/>
          </w:tblCellMar>
        </w:tblPrEx>
        <w:trPr>
          <w:trHeight w:val="680" w:hRule="atLeast"/>
        </w:trPr>
        <w:tc>
          <w:tcPr>
            <w:tcW w:w="522" w:type="pct"/>
            <w:gridSpan w:val="2"/>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水源涵养林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高、中</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参照木材战略贮备林树种选择</w:t>
            </w:r>
          </w:p>
        </w:tc>
        <w:tc>
          <w:tcPr>
            <w:tcW w:w="714"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以水源涵养为主要目标，兼顾木材贮备和景观功能。</w:t>
            </w:r>
          </w:p>
        </w:tc>
        <w:tc>
          <w:tcPr>
            <w:tcW w:w="110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辅助树种可适当地带性树种；建议块状或随机混交。</w:t>
            </w:r>
          </w:p>
        </w:tc>
      </w:tr>
      <w:tr>
        <w:tblPrEx>
          <w:tblCellMar>
            <w:top w:w="0" w:type="dxa"/>
            <w:left w:w="108" w:type="dxa"/>
            <w:bottom w:w="0" w:type="dxa"/>
            <w:right w:w="108" w:type="dxa"/>
          </w:tblCellMar>
        </w:tblPrEx>
        <w:trPr>
          <w:trHeight w:val="680" w:hRule="atLeast"/>
        </w:trPr>
        <w:tc>
          <w:tcPr>
            <w:tcW w:w="522" w:type="pct"/>
            <w:gridSpan w:val="2"/>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低</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参照困难立地造林树种选择</w:t>
            </w:r>
          </w:p>
        </w:tc>
        <w:tc>
          <w:tcPr>
            <w:tcW w:w="714"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1460" w:hRule="atLeast"/>
        </w:trPr>
        <w:tc>
          <w:tcPr>
            <w:tcW w:w="522" w:type="pct"/>
            <w:gridSpan w:val="2"/>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林分改造</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高、中（下、中坡）</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格木、闽楠、桢楠+火力楠（灰木莲、乐昌含笑、浙江润楠</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花榈木、伯乐树、木荚红豆、南山茶、长叶竹柏+红椎、中华锥、吊皮锥、青冈、槟榔青冈、赤皮青冈、华润楠、木荷</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以优化森林组成和结构为主要目标，兼顾木材贮备和生态功能</w:t>
            </w:r>
          </w:p>
        </w:tc>
        <w:tc>
          <w:tcPr>
            <w:tcW w:w="110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适用林窗面积小于1亩或均匀间伐林分补植；林窗面积小于200m</w:t>
            </w:r>
            <w:r>
              <w:rPr>
                <w:rFonts w:ascii="Times New Roman" w:hAnsi="Times New Roman" w:eastAsia="仿宋_GB2312" w:cs="Times New Roman"/>
                <w:color w:val="000000"/>
                <w:kern w:val="0"/>
                <w:sz w:val="24"/>
                <w:szCs w:val="24"/>
                <w:vertAlign w:val="superscript"/>
                <w:lang w:bidi="ar"/>
              </w:rPr>
              <w:t>2</w:t>
            </w:r>
            <w:r>
              <w:rPr>
                <w:rFonts w:ascii="Times New Roman" w:hAnsi="Times New Roman" w:eastAsia="仿宋_GB2312" w:cs="Times New Roman"/>
                <w:color w:val="000000"/>
                <w:kern w:val="0"/>
                <w:sz w:val="24"/>
                <w:szCs w:val="24"/>
                <w:lang w:bidi="ar"/>
              </w:rPr>
              <w:t>、郁闭度大于0.6时，不建议选择耐荫性低的树种，如枫香、山杜英、西南桦、黑木相思、楝叶吴萸、乌桕等进行林下套种。建议块状或随机混交。</w:t>
            </w:r>
          </w:p>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较差立地参照困难立地造林树种选择。</w:t>
            </w:r>
          </w:p>
        </w:tc>
      </w:tr>
      <w:tr>
        <w:tblPrEx>
          <w:tblCellMar>
            <w:top w:w="0" w:type="dxa"/>
            <w:left w:w="108" w:type="dxa"/>
            <w:bottom w:w="0" w:type="dxa"/>
            <w:right w:w="108" w:type="dxa"/>
          </w:tblCellMar>
        </w:tblPrEx>
        <w:trPr>
          <w:trHeight w:val="1220" w:hRule="atLeast"/>
        </w:trPr>
        <w:tc>
          <w:tcPr>
            <w:tcW w:w="522" w:type="pct"/>
            <w:gridSpan w:val="2"/>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低（上坡）</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木荷、火力楠、乐昌含笑+黄樟、任豆、南酸枣、</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格木、青冈、降香黄檀+枫香、铁刀木、乌桕、木油桐、黄桐、黧蒴</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以优化森林组成和结构、恢复地带性森林为主要目标，兼顾生物多样性。</w:t>
            </w: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1500" w:hRule="atLeast"/>
        </w:trPr>
        <w:tc>
          <w:tcPr>
            <w:tcW w:w="522"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大径材培育（含中幼林抚育）</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高（下、中坡，土层＞80cm）</w:t>
            </w:r>
          </w:p>
        </w:tc>
        <w:tc>
          <w:tcPr>
            <w:tcW w:w="80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红锥、米槠、闽楠、浙江润楠、火力楠、乐昌含笑、灰木莲、西南桦、杉木</w:t>
            </w:r>
          </w:p>
        </w:tc>
        <w:tc>
          <w:tcPr>
            <w:tcW w:w="1386"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格木、木荷、降香黄檀、土沉香、桢楠、米老排及其他用材树种</w:t>
            </w:r>
          </w:p>
        </w:tc>
        <w:tc>
          <w:tcPr>
            <w:tcW w:w="714"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培育大径材林，兼顾景观和生态功能</w:t>
            </w:r>
          </w:p>
        </w:tc>
        <w:tc>
          <w:tcPr>
            <w:tcW w:w="1109"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以已建成包含有大径材培育潜力树种的用材林、碳汇林、水源林、景观林等为对象，根据树种组成和生长情况，造林</w:t>
            </w:r>
            <w:r>
              <w:rPr>
                <w:rFonts w:hint="eastAsia" w:ascii="Times New Roman" w:hAnsi="Times New Roman" w:eastAsia="仿宋_GB2312" w:cs="Times New Roman"/>
                <w:color w:val="000000"/>
                <w:kern w:val="0"/>
                <w:sz w:val="24"/>
                <w:szCs w:val="24"/>
                <w:lang w:bidi="ar"/>
              </w:rPr>
              <w:t>7</w:t>
            </w:r>
            <w:r>
              <w:rPr>
                <w:rFonts w:ascii="Times New Roman" w:hAnsi="Times New Roman" w:eastAsia="仿宋_GB2312" w:cs="Times New Roman"/>
                <w:color w:val="000000"/>
                <w:kern w:val="0"/>
                <w:sz w:val="24"/>
                <w:szCs w:val="24"/>
                <w:lang w:bidi="ar"/>
              </w:rPr>
              <w:t>-10年林分进行第一次目标树管理；10-20年林分进行第二次目标树管理；20年以上林分进行进行第三次目标树管理；根据林分郁闭度进行补植耐荫性中等以上用材树种。</w:t>
            </w:r>
          </w:p>
        </w:tc>
      </w:tr>
      <w:tr>
        <w:tblPrEx>
          <w:tblCellMar>
            <w:top w:w="0" w:type="dxa"/>
            <w:left w:w="108" w:type="dxa"/>
            <w:bottom w:w="0" w:type="dxa"/>
            <w:right w:w="108" w:type="dxa"/>
          </w:tblCellMar>
        </w:tblPrEx>
        <w:trPr>
          <w:trHeight w:val="680" w:hRule="atLeast"/>
        </w:trPr>
        <w:tc>
          <w:tcPr>
            <w:tcW w:w="21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防护林</w:t>
            </w:r>
          </w:p>
        </w:tc>
        <w:tc>
          <w:tcPr>
            <w:tcW w:w="30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堤岸</w:t>
            </w:r>
          </w:p>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防护林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水松、落羽杉、池杉、水杉、杉木、长叶竹柏、水翁、阴香、水翁、水黄皮、银叶树等。</w:t>
            </w:r>
          </w:p>
        </w:tc>
        <w:tc>
          <w:tcPr>
            <w:tcW w:w="714"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以主体防护功能为主，兼顾景观功能、经济效益等</w:t>
            </w:r>
          </w:p>
        </w:tc>
        <w:tc>
          <w:tcPr>
            <w:tcW w:w="110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需根据具体造林空间分布、立地、功能等进行选择和配置树种。建议带状或规则混交。</w:t>
            </w:r>
          </w:p>
        </w:tc>
      </w:tr>
      <w:tr>
        <w:tblPrEx>
          <w:tblCellMar>
            <w:top w:w="0" w:type="dxa"/>
            <w:left w:w="108" w:type="dxa"/>
            <w:bottom w:w="0" w:type="dxa"/>
            <w:right w:w="108" w:type="dxa"/>
          </w:tblCellMar>
        </w:tblPrEx>
        <w:trPr>
          <w:trHeight w:val="680" w:hRule="atLeast"/>
        </w:trPr>
        <w:tc>
          <w:tcPr>
            <w:tcW w:w="21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30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沿海</w:t>
            </w:r>
          </w:p>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防护林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木麻黄、台湾相思、黑木相思、水黄皮、银叶树、红花天料木、青皮、坡垒等。</w:t>
            </w:r>
          </w:p>
        </w:tc>
        <w:tc>
          <w:tcPr>
            <w:tcW w:w="714"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680" w:hRule="atLeast"/>
        </w:trPr>
        <w:tc>
          <w:tcPr>
            <w:tcW w:w="21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30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道路</w:t>
            </w:r>
          </w:p>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防护林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火力楠、乐昌含笑、灰木莲、观光木、麻楝、降香黄檀、交趾黄檀、闽楠、桢楠、浙江润楠、铁刀木、铁力木等。</w:t>
            </w:r>
          </w:p>
        </w:tc>
        <w:tc>
          <w:tcPr>
            <w:tcW w:w="714"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ascii="Times New Roman" w:hAnsi="Times New Roman" w:eastAsia="仿宋_GB2312" w:cs="Times New Roman"/>
                <w:color w:val="000000"/>
                <w:sz w:val="24"/>
                <w:szCs w:val="24"/>
              </w:rPr>
            </w:pPr>
          </w:p>
        </w:tc>
      </w:tr>
      <w:tr>
        <w:tblPrEx>
          <w:tblCellMar>
            <w:top w:w="0" w:type="dxa"/>
            <w:left w:w="108" w:type="dxa"/>
            <w:bottom w:w="0" w:type="dxa"/>
            <w:right w:w="108" w:type="dxa"/>
          </w:tblCellMar>
        </w:tblPrEx>
        <w:trPr>
          <w:trHeight w:val="680" w:hRule="atLeast"/>
        </w:trPr>
        <w:tc>
          <w:tcPr>
            <w:tcW w:w="21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30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农田</w:t>
            </w:r>
          </w:p>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防护林</w:t>
            </w:r>
          </w:p>
        </w:tc>
        <w:tc>
          <w:tcPr>
            <w:tcW w:w="465" w:type="pct"/>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p>
        </w:tc>
        <w:tc>
          <w:tcPr>
            <w:tcW w:w="2191"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落羽杉、池杉等，或其他未列入的经济树种。</w:t>
            </w:r>
          </w:p>
        </w:tc>
        <w:tc>
          <w:tcPr>
            <w:tcW w:w="714"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仿宋_GB2312" w:cs="Times New Roman"/>
                <w:color w:val="000000"/>
                <w:sz w:val="24"/>
                <w:szCs w:val="24"/>
              </w:rPr>
            </w:pPr>
          </w:p>
        </w:tc>
        <w:tc>
          <w:tcPr>
            <w:tcW w:w="1109" w:type="pct"/>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ascii="Times New Roman" w:hAnsi="Times New Roman" w:eastAsia="仿宋_GB2312" w:cs="Times New Roman"/>
                <w:color w:val="000000"/>
                <w:sz w:val="24"/>
                <w:szCs w:val="24"/>
              </w:rPr>
            </w:pPr>
          </w:p>
        </w:tc>
      </w:tr>
    </w:tbl>
    <w:p>
      <w:r>
        <w:br w:type="page"/>
      </w:r>
    </w:p>
    <w:p>
      <w:pPr>
        <w:pStyle w:val="2"/>
        <w:adjustRightInd w:val="0"/>
        <w:snapToGrid w:val="0"/>
        <w:spacing w:after="156" w:afterLines="50" w:line="560" w:lineRule="exact"/>
        <w:rPr>
          <w:rFonts w:ascii="Times New Roman" w:hAnsi="Times New Roman" w:eastAsia="仿宋_GB2312" w:cs="Times New Roman"/>
          <w:b/>
          <w:bCs w:val="0"/>
        </w:rPr>
      </w:pPr>
      <w:r>
        <w:rPr>
          <w:rFonts w:hint="eastAsia" w:ascii="Times New Roman" w:hAnsi="Times New Roman" w:eastAsia="仿宋_GB2312" w:cs="Times New Roman"/>
          <w:b/>
          <w:bCs w:val="0"/>
        </w:rPr>
        <w:t xml:space="preserve">附录3  </w:t>
      </w:r>
      <w:r>
        <w:rPr>
          <w:rFonts w:ascii="Times New Roman" w:hAnsi="Times New Roman" w:eastAsia="仿宋_GB2312" w:cs="Times New Roman"/>
          <w:b/>
          <w:bCs w:val="0"/>
        </w:rPr>
        <w:t>广州市造林空间分类与</w:t>
      </w:r>
      <w:r>
        <w:rPr>
          <w:rFonts w:hint="eastAsia" w:ascii="Times New Roman" w:hAnsi="Times New Roman" w:eastAsia="仿宋_GB2312" w:cs="Times New Roman"/>
          <w:b/>
          <w:bCs w:val="0"/>
        </w:rPr>
        <w:t>参考</w:t>
      </w:r>
      <w:r>
        <w:rPr>
          <w:rFonts w:ascii="Times New Roman" w:hAnsi="Times New Roman" w:eastAsia="仿宋_GB2312" w:cs="Times New Roman"/>
          <w:b/>
          <w:bCs w:val="0"/>
        </w:rPr>
        <w:t>建设目标</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098"/>
        <w:gridCol w:w="6834"/>
        <w:gridCol w:w="2744"/>
        <w:gridCol w:w="5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57" w:hRule="atLeast"/>
        </w:trPr>
        <w:tc>
          <w:tcPr>
            <w:tcW w:w="341" w:type="pct"/>
            <w:shd w:val="clear" w:color="auto" w:fill="D7D7D7" w:themeFill="background1" w:themeFillShade="D8"/>
            <w:vAlign w:val="center"/>
          </w:tcPr>
          <w:p>
            <w:pPr>
              <w:pStyle w:val="7"/>
              <w:adjustRightInd/>
              <w:spacing w:line="360" w:lineRule="auto"/>
              <w:jc w:val="center"/>
              <w:rPr>
                <w:rFonts w:ascii="Times New Roman" w:eastAsia="仿宋_GB2312" w:cs="Times New Roman"/>
                <w:b/>
                <w:bCs/>
                <w:sz w:val="24"/>
                <w:szCs w:val="24"/>
              </w:rPr>
            </w:pPr>
            <w:r>
              <w:rPr>
                <w:rFonts w:ascii="Times New Roman" w:eastAsia="仿宋_GB2312" w:cs="Times New Roman"/>
                <w:b/>
                <w:bCs/>
                <w:sz w:val="24"/>
                <w:szCs w:val="24"/>
              </w:rPr>
              <w:t>区域</w:t>
            </w:r>
          </w:p>
        </w:tc>
        <w:tc>
          <w:tcPr>
            <w:tcW w:w="2122" w:type="pct"/>
            <w:shd w:val="clear" w:color="auto" w:fill="D7D7D7" w:themeFill="background1" w:themeFillShade="D8"/>
            <w:vAlign w:val="center"/>
          </w:tcPr>
          <w:p>
            <w:pPr>
              <w:pStyle w:val="7"/>
              <w:adjustRightInd/>
              <w:spacing w:line="360" w:lineRule="auto"/>
              <w:jc w:val="center"/>
              <w:rPr>
                <w:rFonts w:ascii="Times New Roman" w:eastAsia="仿宋_GB2312" w:cs="Times New Roman"/>
                <w:b/>
                <w:bCs/>
                <w:sz w:val="24"/>
                <w:szCs w:val="24"/>
              </w:rPr>
            </w:pPr>
            <w:r>
              <w:rPr>
                <w:rFonts w:ascii="Times New Roman" w:eastAsia="仿宋_GB2312" w:cs="Times New Roman"/>
                <w:b/>
                <w:bCs/>
                <w:sz w:val="24"/>
                <w:szCs w:val="24"/>
              </w:rPr>
              <w:t>区、镇街</w:t>
            </w:r>
          </w:p>
        </w:tc>
        <w:tc>
          <w:tcPr>
            <w:tcW w:w="852" w:type="pct"/>
            <w:shd w:val="clear" w:color="auto" w:fill="D7D7D7" w:themeFill="background1" w:themeFillShade="D8"/>
            <w:vAlign w:val="center"/>
          </w:tcPr>
          <w:p>
            <w:pPr>
              <w:pStyle w:val="7"/>
              <w:adjustRightInd/>
              <w:spacing w:line="360" w:lineRule="auto"/>
              <w:jc w:val="center"/>
              <w:rPr>
                <w:rFonts w:ascii="Times New Roman" w:eastAsia="仿宋_GB2312" w:cs="Times New Roman"/>
                <w:b/>
                <w:bCs/>
                <w:sz w:val="24"/>
                <w:szCs w:val="24"/>
              </w:rPr>
            </w:pPr>
            <w:r>
              <w:rPr>
                <w:rFonts w:ascii="Times New Roman" w:eastAsia="仿宋_GB2312" w:cs="Times New Roman"/>
                <w:b/>
                <w:bCs/>
                <w:sz w:val="24"/>
                <w:szCs w:val="24"/>
              </w:rPr>
              <w:t>建设</w:t>
            </w:r>
            <w:r>
              <w:rPr>
                <w:rFonts w:hint="eastAsia" w:ascii="Times New Roman" w:eastAsia="仿宋_GB2312" w:cs="Times New Roman"/>
                <w:b/>
                <w:bCs/>
                <w:sz w:val="24"/>
                <w:szCs w:val="24"/>
              </w:rPr>
              <w:t>类型与</w:t>
            </w:r>
            <w:r>
              <w:rPr>
                <w:rFonts w:ascii="Times New Roman" w:eastAsia="仿宋_GB2312" w:cs="Times New Roman"/>
                <w:b/>
                <w:bCs/>
                <w:sz w:val="24"/>
                <w:szCs w:val="24"/>
              </w:rPr>
              <w:t>目标</w:t>
            </w:r>
          </w:p>
        </w:tc>
        <w:tc>
          <w:tcPr>
            <w:tcW w:w="1683" w:type="pct"/>
            <w:shd w:val="clear" w:color="auto" w:fill="D7D7D7" w:themeFill="background1" w:themeFillShade="D8"/>
            <w:vAlign w:val="center"/>
          </w:tcPr>
          <w:p>
            <w:pPr>
              <w:pStyle w:val="7"/>
              <w:adjustRightInd/>
              <w:spacing w:line="360" w:lineRule="auto"/>
              <w:jc w:val="center"/>
              <w:rPr>
                <w:rFonts w:ascii="Times New Roman" w:eastAsia="仿宋_GB2312" w:cs="Times New Roman"/>
                <w:b/>
                <w:bCs/>
                <w:sz w:val="24"/>
                <w:szCs w:val="24"/>
              </w:rPr>
            </w:pPr>
            <w:r>
              <w:rPr>
                <w:rFonts w:hint="eastAsia" w:ascii="Times New Roman" w:eastAsia="仿宋_GB2312" w:cs="Times New Roman"/>
                <w:b/>
                <w:bCs/>
                <w:sz w:val="24"/>
                <w:szCs w:val="24"/>
              </w:rPr>
              <w:t>造林空间分类示意图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60" w:hRule="atLeast"/>
        </w:trPr>
        <w:tc>
          <w:tcPr>
            <w:tcW w:w="341" w:type="pct"/>
            <w:vMerge w:val="restart"/>
            <w:vAlign w:val="center"/>
          </w:tcPr>
          <w:p>
            <w:pPr>
              <w:pStyle w:val="7"/>
              <w:adjustRightInd/>
              <w:spacing w:line="360" w:lineRule="auto"/>
              <w:jc w:val="center"/>
              <w:rPr>
                <w:rFonts w:ascii="Times New Roman" w:eastAsia="仿宋_GB2312" w:cs="Times New Roman"/>
                <w:sz w:val="24"/>
                <w:szCs w:val="24"/>
              </w:rPr>
            </w:pPr>
            <w:r>
              <w:rPr>
                <w:rFonts w:ascii="Times New Roman" w:eastAsia="仿宋_GB2312" w:cs="Times New Roman"/>
                <w:sz w:val="24"/>
                <w:szCs w:val="24"/>
              </w:rPr>
              <w:t>北部</w:t>
            </w:r>
          </w:p>
        </w:tc>
        <w:tc>
          <w:tcPr>
            <w:tcW w:w="2122" w:type="pct"/>
            <w:tcBorders>
              <w:bottom w:val="dashSmallGap" w:color="A4A4A4" w:themeColor="background1" w:themeShade="A5" w:sz="4" w:space="0"/>
            </w:tcBorders>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从化区</w:t>
            </w:r>
          </w:p>
        </w:tc>
        <w:tc>
          <w:tcPr>
            <w:tcW w:w="852" w:type="pct"/>
            <w:vMerge w:val="restart"/>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大径材</w:t>
            </w:r>
            <w:r>
              <w:rPr>
                <w:rFonts w:hint="eastAsia" w:ascii="Times New Roman" w:eastAsia="仿宋_GB2312" w:cs="Times New Roman"/>
                <w:sz w:val="24"/>
                <w:szCs w:val="24"/>
              </w:rPr>
              <w:t>林</w:t>
            </w:r>
            <w:r>
              <w:rPr>
                <w:rFonts w:ascii="Times New Roman" w:eastAsia="仿宋_GB2312" w:cs="Times New Roman"/>
                <w:sz w:val="24"/>
                <w:szCs w:val="24"/>
              </w:rPr>
              <w:t>、森林康养</w:t>
            </w:r>
            <w:r>
              <w:rPr>
                <w:rFonts w:hint="eastAsia" w:ascii="Times New Roman" w:eastAsia="仿宋_GB2312" w:cs="Times New Roman"/>
                <w:sz w:val="24"/>
                <w:szCs w:val="24"/>
              </w:rPr>
              <w:t>林</w:t>
            </w:r>
            <w:r>
              <w:rPr>
                <w:rFonts w:ascii="Times New Roman" w:eastAsia="仿宋_GB2312" w:cs="Times New Roman"/>
                <w:sz w:val="24"/>
                <w:szCs w:val="24"/>
              </w:rPr>
              <w:t>、山地生态景观林、经济林、低效林改造、多功能兼用林</w:t>
            </w:r>
          </w:p>
        </w:tc>
        <w:tc>
          <w:tcPr>
            <w:tcW w:w="1683" w:type="pct"/>
            <w:vMerge w:val="restart"/>
            <w:vAlign w:val="center"/>
          </w:tcPr>
          <w:p>
            <w:pPr>
              <w:pStyle w:val="7"/>
              <w:adjustRightInd/>
              <w:spacing w:line="360" w:lineRule="auto"/>
              <w:rPr>
                <w:rFonts w:ascii="Times New Roman" w:eastAsia="仿宋_GB2312" w:cs="Times New Roman"/>
                <w:sz w:val="24"/>
                <w:szCs w:val="24"/>
              </w:rPr>
            </w:pPr>
            <w:r>
              <mc:AlternateContent>
                <mc:Choice Requires="wps">
                  <w:drawing>
                    <wp:anchor distT="0" distB="0" distL="114300" distR="114300" simplePos="0" relativeHeight="251662336" behindDoc="0" locked="0" layoutInCell="1" allowOverlap="1">
                      <wp:simplePos x="0" y="0"/>
                      <wp:positionH relativeFrom="column">
                        <wp:posOffset>780415</wp:posOffset>
                      </wp:positionH>
                      <wp:positionV relativeFrom="paragraph">
                        <wp:posOffset>1504950</wp:posOffset>
                      </wp:positionV>
                      <wp:extent cx="2175510" cy="1020445"/>
                      <wp:effectExtent l="3810" t="12065" r="0" b="15240"/>
                      <wp:wrapNone/>
                      <wp:docPr id="3" name="任意多边形 2"/>
                      <wp:cNvGraphicFramePr/>
                      <a:graphic xmlns:a="http://schemas.openxmlformats.org/drawingml/2006/main">
                        <a:graphicData uri="http://schemas.microsoft.com/office/word/2010/wordprocessingShape">
                          <wps:wsp>
                            <wps:cNvSpPr/>
                            <wps:spPr>
                              <a:xfrm>
                                <a:off x="0" y="0"/>
                                <a:ext cx="2175510" cy="1020445"/>
                              </a:xfrm>
                              <a:custGeom>
                                <a:avLst/>
                                <a:gdLst>
                                  <a:gd name="connisteX0" fmla="*/ 0 w 2109695"/>
                                  <a:gd name="connsiteY0" fmla="*/ 0 h 920256"/>
                                  <a:gd name="connisteX1" fmla="*/ 685800 w 2109695"/>
                                  <a:gd name="connsiteY1" fmla="*/ 294005 h 920256"/>
                                  <a:gd name="connisteX2" fmla="*/ 342900 w 2109695"/>
                                  <a:gd name="connsiteY2" fmla="*/ 871855 h 920256"/>
                                  <a:gd name="connisteX3" fmla="*/ 1948815 w 2109695"/>
                                  <a:gd name="connsiteY3" fmla="*/ 861695 h 920256"/>
                                  <a:gd name="connisteX4" fmla="*/ 1997710 w 2109695"/>
                                  <a:gd name="connsiteY4" fmla="*/ 861695 h 920256"/>
                                  <a:gd name="connisteX5" fmla="*/ 1948815 w 2109695"/>
                                  <a:gd name="connsiteY5" fmla="*/ 871855 h 92025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2109695" h="920257">
                                    <a:moveTo>
                                      <a:pt x="0" y="0"/>
                                    </a:moveTo>
                                    <a:cubicBezTo>
                                      <a:pt x="144145" y="46990"/>
                                      <a:pt x="617220" y="119380"/>
                                      <a:pt x="685800" y="294005"/>
                                    </a:cubicBezTo>
                                    <a:cubicBezTo>
                                      <a:pt x="754380" y="468630"/>
                                      <a:pt x="90170" y="758190"/>
                                      <a:pt x="342900" y="871855"/>
                                    </a:cubicBezTo>
                                    <a:cubicBezTo>
                                      <a:pt x="595630" y="985520"/>
                                      <a:pt x="1617980" y="863600"/>
                                      <a:pt x="1948815" y="861695"/>
                                    </a:cubicBezTo>
                                    <a:cubicBezTo>
                                      <a:pt x="2279650" y="859790"/>
                                      <a:pt x="1997710" y="859790"/>
                                      <a:pt x="1997710" y="861695"/>
                                    </a:cubicBezTo>
                                    <a:cubicBezTo>
                                      <a:pt x="1997710" y="863600"/>
                                      <a:pt x="1959610" y="869950"/>
                                      <a:pt x="1948815" y="871855"/>
                                    </a:cubicBezTo>
                                  </a:path>
                                </a:pathLst>
                              </a:custGeom>
                              <a:noFill/>
                              <a:ln w="254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2" o:spid="_x0000_s1026" o:spt="100" style="position:absolute;left:0pt;margin-left:61.45pt;margin-top:118.5pt;height:80.35pt;width:171.3pt;z-index:251662336;v-text-anchor:middle;mso-width-relative:page;mso-height-relative:page;" filled="f" stroked="t" coordsize="2109695,920257" o:gfxdata="UEsDBAoAAAAAAIdO4kAAAAAAAAAAAAAAAAAEAAAAZHJzL1BLAwQUAAAACACHTuJAmdTufNkAAAAL&#10;AQAADwAAAGRycy9kb3ducmV2LnhtbE2Py07DMBBF90j8gzVIbBC1k+KGhjhdUFijtlB16cYmjvAj&#10;st20/D3DCpZXc3Tn3GZ1cZZMOqYheAHFjAHRvgtq8L2A993r/SOQlKVX0gavBXzrBKv2+qqRtQpn&#10;v9HTNvcES3yqpQCT81hTmjqjnUyzMGqPt88QncwYY09VlGcsd5aWjC2ok4PHD0aO+tno7mt7cgLW&#10;Zs85278c1gc+RXf3ZncfXSHE7U3BnoBkfcl/MPzqozq06HQMJ68SsZjLcomogHJe4SgkHhacAzkK&#10;mC+rCmjb0P8b2h9QSwMEFAAAAAgAh07iQDEa3bGyAwAAhAoAAA4AAABkcnMvZTJvRG9jLnhtbK1W&#10;TW/bNhi+D+h/IHQcsEiURUk04hRogu4ybAXaAuuRpihLgCQKJGM7O++++47D/sRQbL9mLfYz+pJU&#10;HCoLZgWYDzbp9+N5v/iQly+PfYf2QulWDpsIXyQREgOXVTvsNtH7d6+/KSOkDRsq1slBbKI7oaOX&#10;Vy++ujyMa5HKRnaVUAicDHp9GDdRY8y4jmPNG9EzfSFHMYCwlqpnBrZqF1eKHcB738VpkuTxQapq&#10;VJILreHfGy+MJo9qiUNZ1y0XN5Lf9mIw3qsSHTOQkm7aUUdXLtq6Ftz8UNdaGNRtIsjUuG8AgfXW&#10;fsdXl2y9U2xsWj6FwJaE8CinnrUDgJ5c3TDD0K1q/+Wqb7mSWtbmgss+9om4ikAWOHlUm7cNG4XL&#10;BUqtx1PR9f/nln+/f6NQW22iVYQG1kPD//748fPPv3z6/dd//vrj05+/odQW6TDqNei+Hd+oaadh&#10;aTM+1qq3v5ALOrrC3p0KK44GcfgzxQUhGGrOQYaTNMkyYr3GD+b8VptvhXSu2P47bXxnKli5ulZT&#10;dFwOQ6uN+BG81X0Hzfo6Rgk6oBQnNKfOLbQhVNetER/m6g2iaZKSfOp/qO2c48B5XpIyWYAQ2qQ0&#10;SxKCzsGkAcwqS+kSmNCmLHBJzsNAa0+lwjQrS0zOFyw0KnMMpT2bTjbDoUWBF5QtNFqIQ2Y4C/MJ&#10;jZ6oG4zi7n7YWHM/f/w4TAMIK8QsRSbunI9S22kPpxFG226nafPTDVZ2es8Yw+SExng6GsuMYR5C&#10;Y3daIZllxtDk0Hj1LGToXGicPcsY2hEa39OBC9uHPxVeAYdb9u4ce5sIAXsrx95bf3pHZmy/bJ3t&#10;Eh0s33guQM0mcge9cE3r5V68k07RPOIqgHyQ8ttty1+Jn0JdnGUYSMsGneWUTjfH6PzkuEhTIBiQ&#10;YUxX5Vzo6MMJPSvcl2kG8hRkQTLry0OW+Wrmlia48LKClHgej6cSZ+gnfTEkocTiWEgKzAJJORr2&#10;aWLIk04BQTh5Mpd6YvGoji8Wo6ZpQXPiYUtCi3k2mDom8Y7/W/o82JnjJ/IhNLd3FtSihI5DfGEt&#10;wmwdCz+RLQyVnUh3z52m1A53cNcN8nXbdc5zN7jZJXB1wE3J4G1Vw5sGlv0I97MedhFi3Q4ebdwo&#10;N89adm1lze1Ia7XbXncK7RkcluvEfqaQZmqj0uaG6cbr6TttN5NiB2QV25ve3+12tZXVHTwQlOmu&#10;pX9CsYE3Es6gDQLCdvrwOHFJTg8p+/oJ907r4fF49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CZ&#10;1O582QAAAAsBAAAPAAAAAAAAAAEAIAAAACIAAABkcnMvZG93bnJldi54bWxQSwECFAAUAAAACACH&#10;TuJAMRrdsbIDAACECgAADgAAAAAAAAABACAAAAAoAQAAZHJzL2Uyb0RvYy54bWxQSwUGAAAAAAYA&#10;BgBZAQAATAcAAAAA&#10;" path="m0,0c144145,46990,617220,119380,685800,294005c754380,468630,90170,758190,342900,871855c595630,985520,1617980,863600,1948815,861695c2279650,859790,1997710,859790,1997710,861695c1997710,863600,1959610,869950,1948815,871855e">
                      <v:path o:connectlocs="0,0;707194,326013;353597,966774;2009611,955508;2060031,955508;2009611,966774" o:connectangles="0,0,0,0,0,0"/>
                      <v:fill on="f" focussize="0,0"/>
                      <v:stroke weight="2pt" color="#C00000 [3204]" joinstyle="round" dashstyle="3 1"/>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956945</wp:posOffset>
                      </wp:positionH>
                      <wp:positionV relativeFrom="paragraph">
                        <wp:posOffset>3017520</wp:posOffset>
                      </wp:positionV>
                      <wp:extent cx="802640" cy="17780"/>
                      <wp:effectExtent l="0" t="0" r="0" b="0"/>
                      <wp:wrapNone/>
                      <wp:docPr id="15" name="直接连接符 14"/>
                      <wp:cNvGraphicFramePr/>
                      <a:graphic xmlns:a="http://schemas.openxmlformats.org/drawingml/2006/main">
                        <a:graphicData uri="http://schemas.microsoft.com/office/word/2010/wordprocessingShape">
                          <wps:wsp>
                            <wps:cNvCnPr/>
                            <wps:spPr>
                              <a:xfrm flipV="1">
                                <a:off x="0" y="0"/>
                                <a:ext cx="802640" cy="17780"/>
                              </a:xfrm>
                              <a:prstGeom prst="line">
                                <a:avLst/>
                              </a:prstGeom>
                              <a:ln w="254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 o:spid="_x0000_s1026" o:spt="20" style="position:absolute;left:0pt;flip:y;margin-left:75.35pt;margin-top:237.6pt;height:1.4pt;width:63.2pt;z-index:251661312;mso-width-relative:page;mso-height-relative:page;" filled="f" stroked="t" coordsize="21600,21600" o:gfxdata="UEsDBAoAAAAAAIdO4kAAAAAAAAAAAAAAAAAEAAAAZHJzL1BLAwQUAAAACACHTuJALP7vENYAAAAL&#10;AQAADwAAAGRycy9kb3ducmV2LnhtbE2PwU6EMBCG7ya+QzMm3twWwsoGKXvYaMzeFDVeBzoCkU4J&#10;Lbv49nZPevxnvvzzTblf7ShONPvBsYZko0AQt84M3Gl4f3u624HwAdng6Jg0/JCHfXV9VWJh3Jlf&#10;6VSHTsQS9gVq6EOYCil925NFv3ETcdx9udliiHHupJnxHMvtKFOl7qXFgeOFHic69NR+14vV8My4&#10;NIflI335VO7Y1Wt2zB6d1rc3iXoAEWgNfzBc9KM6VNGpcQsbL8aYtyqPqIYs36YgIpHmeQKiuUx2&#10;CmRVyv8/VL9QSwMEFAAAAAgAh07iQNh05OfpAQAArAMAAA4AAABkcnMvZTJvRG9jLnhtbK1TvW7b&#10;MBDeC+QdCO61ZMFxDMFyhhjJUjQG+rPTFCkR4B94jGW/RF6gQLd26ti9b9PkMXqkHLdNlwxdqLvj&#10;8bv7vjstL/dGk50IoJxt6HRSUiIsd62yXUM/vL9+vaAEIrMt086Khh4E0MvV2avl4GtRud7pVgSC&#10;IBbqwTe0j9HXRQG8F4bBxHlh8VK6YFhEN3RFG9iA6EYXVVnOi8GF1gfHBQBG1+MlPSKGlwA6KRUX&#10;a8fvjLBxRA1Cs4iUoFce6Cp3K6Xg8VZKEJHohiLTmE8sgvY2ncVqyeouMN8rfmyBvaSFZ5wMUxaL&#10;nqDWLDJyF9Q/UEbx4MDJOOHOFCORrAiymJbPtHnXMy8yF5Qa/El0+H+w/O1uE4hqcRPOKbHM4MQf&#10;Pn3/ef/l8cdnPB++fSXTWZJp8FBj9pXdhKMHfhMS570Mhkit/EdEySogL7LPIh9OIot9JByDi7Ka&#10;z1B+jlfTi4tFnkExoiQ0HyDeCGdIMhqqlU0SsJrt3kDEypj6lJLC1l0rrfMYtSVDQ6vzWZngGe6m&#10;xJ1A03jkB7ajhOkOl57HkCHBadWm5wkIQre90oHsWFqVsirnT539lZZqrxn0Yx4cIDlJH+xLW/wk&#10;nUZlkrV17SELluM4xJx4XLi0JX/6+fXvn2z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z+7xDW&#10;AAAACwEAAA8AAAAAAAAAAQAgAAAAIgAAAGRycy9kb3ducmV2LnhtbFBLAQIUABQAAAAIAIdO4kDY&#10;dOTn6QEAAKwDAAAOAAAAAAAAAAEAIAAAACUBAABkcnMvZTJvRG9jLnhtbFBLBQYAAAAABgAGAFkB&#10;AACABQAAAAA=&#10;">
                      <v:fill on="f" focussize="0,0"/>
                      <v:stroke weight="2pt" color="#002060 [3204]" joinstyle="round" dashstyle="3 1"/>
                      <v:imagedata o:title=""/>
                      <o:lock v:ext="edit" aspectratio="f"/>
                    </v:line>
                  </w:pict>
                </mc:Fallback>
              </mc:AlternateContent>
            </w:r>
            <w:r>
              <w:rPr>
                <w:rFonts w:hint="eastAsia" w:eastAsiaTheme="minorEastAsia"/>
              </w:rPr>
              <w:drawing>
                <wp:inline distT="0" distB="0" distL="114300" distR="114300">
                  <wp:extent cx="3312795" cy="4663440"/>
                  <wp:effectExtent l="9525" t="9525" r="11430" b="13335"/>
                  <wp:docPr id="6" name="图片 6" descr="1af70d7efcb8e180e3817722a564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f70d7efcb8e180e3817722a564d9b"/>
                          <pic:cNvPicPr>
                            <a:picLocks noChangeAspect="1"/>
                          </pic:cNvPicPr>
                        </pic:nvPicPr>
                        <pic:blipFill>
                          <a:blip r:embed="rId7">
                            <a:lum contrast="6000"/>
                          </a:blip>
                          <a:srcRect l="4457" t="2244" r="3889" b="3771"/>
                          <a:stretch>
                            <a:fillRect/>
                          </a:stretch>
                        </pic:blipFill>
                        <pic:spPr>
                          <a:xfrm>
                            <a:off x="0" y="0"/>
                            <a:ext cx="3312795" cy="4663440"/>
                          </a:xfrm>
                          <a:prstGeom prst="rect">
                            <a:avLst/>
                          </a:prstGeom>
                          <a:ln>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60" w:hRule="atLeast"/>
        </w:trPr>
        <w:tc>
          <w:tcPr>
            <w:tcW w:w="341" w:type="pct"/>
            <w:vMerge w:val="continue"/>
            <w:vAlign w:val="center"/>
          </w:tcPr>
          <w:p>
            <w:pPr>
              <w:pStyle w:val="7"/>
              <w:adjustRightInd/>
              <w:spacing w:line="360" w:lineRule="auto"/>
            </w:pPr>
          </w:p>
        </w:tc>
        <w:tc>
          <w:tcPr>
            <w:tcW w:w="2122" w:type="pct"/>
            <w:tcBorders>
              <w:top w:val="dashSmallGap" w:color="A4A4A4" w:themeColor="background1" w:themeShade="A5" w:sz="4" w:space="0"/>
              <w:bottom w:val="dashSmallGap" w:color="A4A4A4" w:themeColor="background1" w:themeShade="A5" w:sz="4" w:space="0"/>
            </w:tcBorders>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花都区梯面镇和花东镇北部</w:t>
            </w:r>
          </w:p>
        </w:tc>
        <w:tc>
          <w:tcPr>
            <w:tcW w:w="852" w:type="pct"/>
            <w:vMerge w:val="continue"/>
            <w:vAlign w:val="center"/>
          </w:tcPr>
          <w:p>
            <w:pPr>
              <w:pStyle w:val="7"/>
              <w:adjustRightInd/>
              <w:spacing w:line="360" w:lineRule="auto"/>
              <w:rPr>
                <w:rFonts w:ascii="Times New Roman" w:eastAsia="仿宋_GB2312" w:cs="Times New Roman"/>
                <w:sz w:val="24"/>
                <w:szCs w:val="24"/>
              </w:rPr>
            </w:pPr>
          </w:p>
        </w:tc>
        <w:tc>
          <w:tcPr>
            <w:tcW w:w="1683" w:type="pct"/>
            <w:vMerge w:val="continue"/>
            <w:vAlign w:val="center"/>
          </w:tcPr>
          <w:p>
            <w:pPr>
              <w:pStyle w:val="7"/>
              <w:adjustRightInd/>
              <w:spacing w:line="360" w:lineRule="auto"/>
              <w:rPr>
                <w:rFonts w:asci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82" w:hRule="atLeast"/>
        </w:trPr>
        <w:tc>
          <w:tcPr>
            <w:tcW w:w="341" w:type="pct"/>
            <w:vMerge w:val="continue"/>
            <w:vAlign w:val="center"/>
          </w:tcPr>
          <w:p>
            <w:pPr>
              <w:pStyle w:val="7"/>
              <w:adjustRightInd/>
              <w:spacing w:line="360" w:lineRule="auto"/>
              <w:rPr>
                <w:rFonts w:ascii="Times New Roman" w:eastAsia="仿宋_GB2312" w:cs="Times New Roman"/>
                <w:sz w:val="24"/>
                <w:szCs w:val="24"/>
              </w:rPr>
            </w:pPr>
          </w:p>
        </w:tc>
        <w:tc>
          <w:tcPr>
            <w:tcW w:w="2122" w:type="pct"/>
            <w:tcBorders>
              <w:top w:val="dashSmallGap" w:color="A4A4A4" w:themeColor="background1" w:themeShade="A5" w:sz="4" w:space="0"/>
            </w:tcBorders>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增城区荔城街道、增江街道、朱村街道、荔湖街道、中新镇、正果镇、派潭镇、小楼镇</w:t>
            </w:r>
          </w:p>
        </w:tc>
        <w:tc>
          <w:tcPr>
            <w:tcW w:w="852" w:type="pct"/>
            <w:vMerge w:val="continue"/>
            <w:vAlign w:val="center"/>
          </w:tcPr>
          <w:p>
            <w:pPr>
              <w:pStyle w:val="7"/>
              <w:adjustRightInd/>
              <w:spacing w:line="360" w:lineRule="auto"/>
              <w:rPr>
                <w:rFonts w:ascii="Times New Roman" w:eastAsia="仿宋_GB2312" w:cs="Times New Roman"/>
                <w:sz w:val="24"/>
                <w:szCs w:val="24"/>
              </w:rPr>
            </w:pPr>
          </w:p>
        </w:tc>
        <w:tc>
          <w:tcPr>
            <w:tcW w:w="1683" w:type="pct"/>
            <w:vMerge w:val="continue"/>
            <w:vAlign w:val="center"/>
          </w:tcPr>
          <w:p>
            <w:pPr>
              <w:pStyle w:val="7"/>
              <w:adjustRightInd/>
              <w:spacing w:line="360" w:lineRule="auto"/>
              <w:rPr>
                <w:rFonts w:asci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569" w:hRule="atLeast"/>
        </w:trPr>
        <w:tc>
          <w:tcPr>
            <w:tcW w:w="341" w:type="pct"/>
            <w:vAlign w:val="center"/>
          </w:tcPr>
          <w:p>
            <w:pPr>
              <w:pStyle w:val="7"/>
              <w:adjustRightInd/>
              <w:spacing w:line="360" w:lineRule="auto"/>
              <w:jc w:val="center"/>
              <w:rPr>
                <w:rFonts w:ascii="Times New Roman" w:eastAsia="仿宋_GB2312" w:cs="Times New Roman"/>
                <w:sz w:val="24"/>
                <w:szCs w:val="24"/>
              </w:rPr>
            </w:pPr>
            <w:r>
              <w:rPr>
                <w:rFonts w:ascii="Times New Roman" w:eastAsia="仿宋_GB2312" w:cs="Times New Roman"/>
                <w:sz w:val="24"/>
                <w:szCs w:val="24"/>
              </w:rPr>
              <w:t>中部</w:t>
            </w:r>
          </w:p>
        </w:tc>
        <w:tc>
          <w:tcPr>
            <w:tcW w:w="2122" w:type="pct"/>
            <w:vAlign w:val="center"/>
          </w:tcPr>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花都区除梯面镇和花东镇北部</w:t>
            </w:r>
            <w:r>
              <w:rPr>
                <w:rFonts w:hint="eastAsia" w:ascii="Times New Roman" w:eastAsia="仿宋_GB2312" w:cs="Times New Roman"/>
                <w:sz w:val="24"/>
                <w:szCs w:val="24"/>
              </w:rPr>
              <w:t>以南</w:t>
            </w:r>
            <w:r>
              <w:rPr>
                <w:rFonts w:ascii="Times New Roman" w:eastAsia="仿宋_GB2312" w:cs="Times New Roman"/>
                <w:sz w:val="24"/>
                <w:szCs w:val="24"/>
              </w:rPr>
              <w:t>区域</w:t>
            </w:r>
          </w:p>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增城区永宁街道、宁西街道、新塘镇、仙村镇、石滩镇</w:t>
            </w:r>
          </w:p>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白云区钟落潭镇、太和镇、永平街道、同和街道、京溪街道</w:t>
            </w:r>
          </w:p>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天河区龙洞街道、凤凰街道</w:t>
            </w:r>
          </w:p>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黄埔区联和街、长岭街、新龙镇、龙湖街、九佛街</w:t>
            </w:r>
          </w:p>
        </w:tc>
        <w:tc>
          <w:tcPr>
            <w:tcW w:w="852" w:type="pct"/>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城市</w:t>
            </w:r>
            <w:r>
              <w:rPr>
                <w:rFonts w:hint="eastAsia" w:ascii="Times New Roman" w:eastAsia="仿宋_GB2312" w:cs="Times New Roman"/>
                <w:sz w:val="24"/>
                <w:szCs w:val="24"/>
              </w:rPr>
              <w:t>景观林，生态</w:t>
            </w:r>
            <w:r>
              <w:rPr>
                <w:rFonts w:ascii="Times New Roman" w:eastAsia="仿宋_GB2312" w:cs="Times New Roman"/>
                <w:sz w:val="24"/>
                <w:szCs w:val="24"/>
              </w:rPr>
              <w:t>景观兼用林</w:t>
            </w:r>
          </w:p>
        </w:tc>
        <w:tc>
          <w:tcPr>
            <w:tcW w:w="1683" w:type="pct"/>
            <w:vMerge w:val="continue"/>
            <w:vAlign w:val="center"/>
          </w:tcPr>
          <w:p>
            <w:pPr>
              <w:pStyle w:val="7"/>
              <w:adjustRightInd/>
              <w:spacing w:line="360" w:lineRule="auto"/>
              <w:rPr>
                <w:rFonts w:asci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197" w:hRule="atLeast"/>
        </w:trPr>
        <w:tc>
          <w:tcPr>
            <w:tcW w:w="341" w:type="pct"/>
            <w:vAlign w:val="center"/>
          </w:tcPr>
          <w:p>
            <w:pPr>
              <w:pStyle w:val="7"/>
              <w:adjustRightInd/>
              <w:spacing w:line="360" w:lineRule="auto"/>
              <w:jc w:val="center"/>
              <w:rPr>
                <w:rFonts w:ascii="Times New Roman" w:eastAsia="仿宋_GB2312" w:cs="Times New Roman"/>
                <w:sz w:val="24"/>
                <w:szCs w:val="24"/>
              </w:rPr>
            </w:pPr>
            <w:r>
              <w:rPr>
                <w:rFonts w:ascii="Times New Roman" w:eastAsia="仿宋_GB2312" w:cs="Times New Roman"/>
                <w:sz w:val="24"/>
                <w:szCs w:val="24"/>
              </w:rPr>
              <w:t>南部</w:t>
            </w:r>
          </w:p>
        </w:tc>
        <w:tc>
          <w:tcPr>
            <w:tcW w:w="2122" w:type="pct"/>
            <w:vAlign w:val="center"/>
          </w:tcPr>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番禺区</w:t>
            </w:r>
          </w:p>
          <w:p>
            <w:pPr>
              <w:pStyle w:val="7"/>
              <w:adjustRightInd/>
              <w:spacing w:line="480" w:lineRule="auto"/>
              <w:rPr>
                <w:rFonts w:ascii="Times New Roman" w:eastAsia="仿宋_GB2312" w:cs="Times New Roman"/>
                <w:sz w:val="24"/>
                <w:szCs w:val="24"/>
              </w:rPr>
            </w:pPr>
            <w:r>
              <w:rPr>
                <w:rFonts w:ascii="Times New Roman" w:eastAsia="仿宋_GB2312" w:cs="Times New Roman"/>
                <w:sz w:val="24"/>
                <w:szCs w:val="24"/>
              </w:rPr>
              <w:t>南沙区</w:t>
            </w:r>
          </w:p>
        </w:tc>
        <w:tc>
          <w:tcPr>
            <w:tcW w:w="852" w:type="pct"/>
            <w:vAlign w:val="center"/>
          </w:tcPr>
          <w:p>
            <w:pPr>
              <w:pStyle w:val="7"/>
              <w:adjustRightInd/>
              <w:spacing w:line="360" w:lineRule="auto"/>
              <w:rPr>
                <w:rFonts w:ascii="Times New Roman" w:eastAsia="仿宋_GB2312" w:cs="Times New Roman"/>
                <w:sz w:val="24"/>
                <w:szCs w:val="24"/>
              </w:rPr>
            </w:pPr>
            <w:r>
              <w:rPr>
                <w:rFonts w:ascii="Times New Roman" w:eastAsia="仿宋_GB2312" w:cs="Times New Roman"/>
                <w:sz w:val="24"/>
                <w:szCs w:val="24"/>
              </w:rPr>
              <w:t>防护林为主的生态和景观兼用林</w:t>
            </w:r>
          </w:p>
        </w:tc>
        <w:tc>
          <w:tcPr>
            <w:tcW w:w="1683" w:type="pct"/>
            <w:vMerge w:val="continue"/>
            <w:vAlign w:val="center"/>
          </w:tcPr>
          <w:p>
            <w:pPr>
              <w:pStyle w:val="7"/>
              <w:adjustRightInd/>
              <w:spacing w:line="360" w:lineRule="auto"/>
              <w:rPr>
                <w:rFonts w:ascii="Times New Roman" w:eastAsia="仿宋_GB2312" w:cs="Times New Roman"/>
                <w:sz w:val="24"/>
                <w:szCs w:val="24"/>
              </w:rPr>
            </w:pPr>
          </w:p>
        </w:tc>
      </w:tr>
    </w:tbl>
    <w:p>
      <w:pPr>
        <w:adjustRightInd w:val="0"/>
        <w:snapToGrid w:val="0"/>
        <w:spacing w:line="360" w:lineRule="auto"/>
        <w:ind w:firstLine="640" w:firstLineChars="200"/>
        <w:outlineLvl w:val="1"/>
        <w:rPr>
          <w:rFonts w:ascii="Times New Roman" w:hAnsi="Times New Roman" w:eastAsia="仿宋_GB2312" w:cs="Times New Roman"/>
          <w:sz w:val="32"/>
          <w:szCs w:val="32"/>
        </w:rPr>
      </w:pPr>
    </w:p>
    <w:p>
      <w:pPr>
        <w:widowControl/>
        <w:jc w:val="left"/>
        <w:rPr>
          <w:rFonts w:ascii="Times New Roman" w:hAnsi="Times New Roman" w:eastAsia="仿宋_GB2312" w:cs="Times New Roman"/>
          <w:color w:val="000000"/>
          <w:kern w:val="0"/>
          <w:sz w:val="24"/>
          <w:szCs w:val="24"/>
          <w:lang w:bidi="ar"/>
        </w:rPr>
      </w:pPr>
    </w:p>
    <w:p>
      <w:pPr>
        <w:widowControl/>
        <w:jc w:val="left"/>
        <w:rPr>
          <w:rFonts w:ascii="Times New Roman" w:hAnsi="Times New Roman" w:eastAsia="仿宋_GB2312" w:cs="Times New Roman"/>
          <w:color w:val="000000"/>
          <w:kern w:val="0"/>
          <w:sz w:val="24"/>
          <w:szCs w:val="24"/>
          <w:lang w:bidi="ar"/>
        </w:rPr>
      </w:pPr>
    </w:p>
    <w:sectPr>
      <w:pgSz w:w="16838" w:h="11906" w:orient="landscape"/>
      <w:pgMar w:top="624" w:right="454" w:bottom="624" w:left="45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1154431"/>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sdt>
                    <w:sdtPr>
                      <w:id w:val="-481154431"/>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21"/>
                              <w:szCs w:val="21"/>
                            </w:rPr>
                            <w:id w:val="438489246"/>
                          </w:sdtPr>
                          <w:sdtEndPr>
                            <w:rPr>
                              <w:rFonts w:ascii="Times New Roman" w:hAnsi="Times New Roman" w:cs="Times New Roman"/>
                              <w:sz w:val="21"/>
                              <w:szCs w:val="21"/>
                            </w:rPr>
                          </w:sdtEndPr>
                          <w:sdtContent>
                            <w:p>
                              <w:pPr>
                                <w:pStyle w:val="11"/>
                                <w:jc w:val="center"/>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9</w:t>
                              </w:r>
                              <w:r>
                                <w:rPr>
                                  <w:rFonts w:ascii="Times New Roman" w:hAnsi="Times New Roman" w:cs="Times New Roman"/>
                                  <w:sz w:val="21"/>
                                  <w:szCs w:val="21"/>
                                </w:rPr>
                                <w:fldChar w:fldCharType="end"/>
                              </w:r>
                            </w:p>
                          </w:sdtContent>
                        </w:sdt>
                        <w:p>
                          <w:pPr>
                            <w:pStyle w:val="17"/>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rPr>
                        <w:rFonts w:ascii="Times New Roman" w:hAnsi="Times New Roman" w:cs="Times New Roman"/>
                        <w:sz w:val="21"/>
                        <w:szCs w:val="21"/>
                      </w:rPr>
                      <w:id w:val="438489246"/>
                    </w:sdtPr>
                    <w:sdtEndPr>
                      <w:rPr>
                        <w:rFonts w:ascii="Times New Roman" w:hAnsi="Times New Roman" w:cs="Times New Roman"/>
                        <w:sz w:val="21"/>
                        <w:szCs w:val="21"/>
                      </w:rPr>
                    </w:sdtEndPr>
                    <w:sdtContent>
                      <w:p>
                        <w:pPr>
                          <w:pStyle w:val="11"/>
                          <w:jc w:val="center"/>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9</w:t>
                        </w:r>
                        <w:r>
                          <w:rPr>
                            <w:rFonts w:ascii="Times New Roman" w:hAnsi="Times New Roman" w:cs="Times New Roman"/>
                            <w:sz w:val="21"/>
                            <w:szCs w:val="21"/>
                          </w:rPr>
                          <w:fldChar w:fldCharType="end"/>
                        </w:r>
                      </w:p>
                    </w:sdtContent>
                  </w:sdt>
                  <w:p>
                    <w:pPr>
                      <w:pStyle w:val="17"/>
                      <w:ind w:firstLine="640"/>
                    </w:pP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DiuE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l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JDiuEtAgAAWQQAAA4AAAAAAAAAAQAgAAAAHwEAAGRycy9lMm9Eb2MueG1sUEsFBgAAAAAG&#10;AAYAWQEAAL4FAAAAAA==&#10;">
              <v:fill on="f" focussize="0,0"/>
              <v:stroke on="f" weight="0.5pt"/>
              <v:imagedata o:title=""/>
              <o:lock v:ext="edit" aspectratio="f"/>
              <v:textbox inset="0mm,0mm,0mm,0mm" style="mso-fit-shape-to-text:t;">
                <w:txbxContent>
                  <w:p>
                    <w:pPr>
                      <w:pStyle w:val="11"/>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wNGJlZjU5MmQ2YmZlNzNlYTNmMjA4MmMyZGY0NmEifQ=="/>
    <w:docVar w:name="KSO_WPS_MARK_KEY" w:val="9c10e7d1-6347-4f4b-95b4-a28e18177ffd"/>
  </w:docVars>
  <w:rsids>
    <w:rsidRoot w:val="00172A27"/>
    <w:rsid w:val="0000135C"/>
    <w:rsid w:val="000021D0"/>
    <w:rsid w:val="000025FA"/>
    <w:rsid w:val="00004167"/>
    <w:rsid w:val="000101C2"/>
    <w:rsid w:val="00011AFB"/>
    <w:rsid w:val="00012D6F"/>
    <w:rsid w:val="00015484"/>
    <w:rsid w:val="00016D81"/>
    <w:rsid w:val="000201B3"/>
    <w:rsid w:val="0002139E"/>
    <w:rsid w:val="000322F4"/>
    <w:rsid w:val="000336E7"/>
    <w:rsid w:val="00036091"/>
    <w:rsid w:val="00037810"/>
    <w:rsid w:val="00040D23"/>
    <w:rsid w:val="00040FB8"/>
    <w:rsid w:val="00041E43"/>
    <w:rsid w:val="000431A8"/>
    <w:rsid w:val="0004498C"/>
    <w:rsid w:val="000457D1"/>
    <w:rsid w:val="000474A9"/>
    <w:rsid w:val="0005250A"/>
    <w:rsid w:val="00052D70"/>
    <w:rsid w:val="00054774"/>
    <w:rsid w:val="00054F67"/>
    <w:rsid w:val="00056A76"/>
    <w:rsid w:val="00056BA4"/>
    <w:rsid w:val="0005723D"/>
    <w:rsid w:val="00057977"/>
    <w:rsid w:val="0006123B"/>
    <w:rsid w:val="000619B6"/>
    <w:rsid w:val="000625D4"/>
    <w:rsid w:val="00063115"/>
    <w:rsid w:val="00066743"/>
    <w:rsid w:val="0006691C"/>
    <w:rsid w:val="000705B1"/>
    <w:rsid w:val="00070A3F"/>
    <w:rsid w:val="00071265"/>
    <w:rsid w:val="00071316"/>
    <w:rsid w:val="00071BE6"/>
    <w:rsid w:val="00080A57"/>
    <w:rsid w:val="00080DD8"/>
    <w:rsid w:val="00080DD9"/>
    <w:rsid w:val="00081D1F"/>
    <w:rsid w:val="000829D1"/>
    <w:rsid w:val="00083A7E"/>
    <w:rsid w:val="00086ECE"/>
    <w:rsid w:val="0009084C"/>
    <w:rsid w:val="0009157D"/>
    <w:rsid w:val="000929C4"/>
    <w:rsid w:val="000A09E5"/>
    <w:rsid w:val="000A1313"/>
    <w:rsid w:val="000A20AC"/>
    <w:rsid w:val="000A540F"/>
    <w:rsid w:val="000A7E38"/>
    <w:rsid w:val="000B048B"/>
    <w:rsid w:val="000B0811"/>
    <w:rsid w:val="000B0FBF"/>
    <w:rsid w:val="000B2224"/>
    <w:rsid w:val="000B3B77"/>
    <w:rsid w:val="000B4F25"/>
    <w:rsid w:val="000B715C"/>
    <w:rsid w:val="000C07AE"/>
    <w:rsid w:val="000C0CAB"/>
    <w:rsid w:val="000C2F5C"/>
    <w:rsid w:val="000C4086"/>
    <w:rsid w:val="000C50F7"/>
    <w:rsid w:val="000C72E0"/>
    <w:rsid w:val="000C776C"/>
    <w:rsid w:val="000D0B6D"/>
    <w:rsid w:val="000D1CFB"/>
    <w:rsid w:val="000D21B1"/>
    <w:rsid w:val="000D2727"/>
    <w:rsid w:val="000D326D"/>
    <w:rsid w:val="000D4320"/>
    <w:rsid w:val="000D4517"/>
    <w:rsid w:val="000D48ED"/>
    <w:rsid w:val="000D61C8"/>
    <w:rsid w:val="000E1010"/>
    <w:rsid w:val="000E23D1"/>
    <w:rsid w:val="000E3EFC"/>
    <w:rsid w:val="000E4CAA"/>
    <w:rsid w:val="000E6615"/>
    <w:rsid w:val="000E6BAE"/>
    <w:rsid w:val="000E750A"/>
    <w:rsid w:val="000E7D4B"/>
    <w:rsid w:val="000F10F4"/>
    <w:rsid w:val="000F65F8"/>
    <w:rsid w:val="000F6DB5"/>
    <w:rsid w:val="000F757B"/>
    <w:rsid w:val="0010105C"/>
    <w:rsid w:val="00102155"/>
    <w:rsid w:val="00104373"/>
    <w:rsid w:val="00105A66"/>
    <w:rsid w:val="0010729F"/>
    <w:rsid w:val="00110D98"/>
    <w:rsid w:val="00111FD5"/>
    <w:rsid w:val="00113B9E"/>
    <w:rsid w:val="00117374"/>
    <w:rsid w:val="00117643"/>
    <w:rsid w:val="00117CAA"/>
    <w:rsid w:val="00121B4E"/>
    <w:rsid w:val="00121E6B"/>
    <w:rsid w:val="0012368A"/>
    <w:rsid w:val="00123959"/>
    <w:rsid w:val="001249D6"/>
    <w:rsid w:val="00124AB5"/>
    <w:rsid w:val="00124F49"/>
    <w:rsid w:val="00126218"/>
    <w:rsid w:val="00134EAC"/>
    <w:rsid w:val="00135D49"/>
    <w:rsid w:val="001365EB"/>
    <w:rsid w:val="00136F64"/>
    <w:rsid w:val="001374E9"/>
    <w:rsid w:val="00143ADF"/>
    <w:rsid w:val="00144ABE"/>
    <w:rsid w:val="0014574F"/>
    <w:rsid w:val="00146523"/>
    <w:rsid w:val="00147807"/>
    <w:rsid w:val="0015020A"/>
    <w:rsid w:val="00155B69"/>
    <w:rsid w:val="00157106"/>
    <w:rsid w:val="00163C53"/>
    <w:rsid w:val="00167EC6"/>
    <w:rsid w:val="001713EA"/>
    <w:rsid w:val="00172A27"/>
    <w:rsid w:val="00173FEF"/>
    <w:rsid w:val="001774B0"/>
    <w:rsid w:val="001837F6"/>
    <w:rsid w:val="00185768"/>
    <w:rsid w:val="001877FF"/>
    <w:rsid w:val="001900CB"/>
    <w:rsid w:val="00190850"/>
    <w:rsid w:val="0019183E"/>
    <w:rsid w:val="00193F0E"/>
    <w:rsid w:val="00195FA3"/>
    <w:rsid w:val="0019796F"/>
    <w:rsid w:val="001A11FF"/>
    <w:rsid w:val="001A2151"/>
    <w:rsid w:val="001A25BC"/>
    <w:rsid w:val="001A2B99"/>
    <w:rsid w:val="001A4D96"/>
    <w:rsid w:val="001B1A3B"/>
    <w:rsid w:val="001B377B"/>
    <w:rsid w:val="001B7536"/>
    <w:rsid w:val="001C0694"/>
    <w:rsid w:val="001C15F6"/>
    <w:rsid w:val="001C461B"/>
    <w:rsid w:val="001C59FE"/>
    <w:rsid w:val="001C6475"/>
    <w:rsid w:val="001D087F"/>
    <w:rsid w:val="001D186A"/>
    <w:rsid w:val="001D395D"/>
    <w:rsid w:val="001D6C6D"/>
    <w:rsid w:val="001E0F4D"/>
    <w:rsid w:val="001E1B59"/>
    <w:rsid w:val="001E1F92"/>
    <w:rsid w:val="001E4894"/>
    <w:rsid w:val="001E659B"/>
    <w:rsid w:val="001E7BA7"/>
    <w:rsid w:val="001F0D69"/>
    <w:rsid w:val="001F1348"/>
    <w:rsid w:val="001F1928"/>
    <w:rsid w:val="001F3C15"/>
    <w:rsid w:val="001F46B3"/>
    <w:rsid w:val="001F4FE5"/>
    <w:rsid w:val="001F54E8"/>
    <w:rsid w:val="001F55B1"/>
    <w:rsid w:val="001F7799"/>
    <w:rsid w:val="002010C2"/>
    <w:rsid w:val="00201D23"/>
    <w:rsid w:val="002053F1"/>
    <w:rsid w:val="002062F2"/>
    <w:rsid w:val="002066E1"/>
    <w:rsid w:val="00212C69"/>
    <w:rsid w:val="00212C7F"/>
    <w:rsid w:val="00212D2A"/>
    <w:rsid w:val="00213780"/>
    <w:rsid w:val="00213ABD"/>
    <w:rsid w:val="00214A74"/>
    <w:rsid w:val="00214BC2"/>
    <w:rsid w:val="002156C8"/>
    <w:rsid w:val="00215F60"/>
    <w:rsid w:val="00217280"/>
    <w:rsid w:val="00217E71"/>
    <w:rsid w:val="00223746"/>
    <w:rsid w:val="00223C46"/>
    <w:rsid w:val="002249ED"/>
    <w:rsid w:val="00225ABB"/>
    <w:rsid w:val="0022775F"/>
    <w:rsid w:val="00227AE9"/>
    <w:rsid w:val="00230173"/>
    <w:rsid w:val="00230474"/>
    <w:rsid w:val="00231550"/>
    <w:rsid w:val="00233245"/>
    <w:rsid w:val="00236CE2"/>
    <w:rsid w:val="002378C3"/>
    <w:rsid w:val="00240343"/>
    <w:rsid w:val="00241B39"/>
    <w:rsid w:val="00242CE9"/>
    <w:rsid w:val="00242FE2"/>
    <w:rsid w:val="00243CBC"/>
    <w:rsid w:val="00245511"/>
    <w:rsid w:val="00245A8C"/>
    <w:rsid w:val="002544D3"/>
    <w:rsid w:val="00254678"/>
    <w:rsid w:val="00254D5B"/>
    <w:rsid w:val="00255713"/>
    <w:rsid w:val="00256250"/>
    <w:rsid w:val="002562E4"/>
    <w:rsid w:val="002608EE"/>
    <w:rsid w:val="00261598"/>
    <w:rsid w:val="002635C8"/>
    <w:rsid w:val="0026461B"/>
    <w:rsid w:val="00266C5B"/>
    <w:rsid w:val="0027045C"/>
    <w:rsid w:val="00270569"/>
    <w:rsid w:val="00271F5A"/>
    <w:rsid w:val="002735AD"/>
    <w:rsid w:val="00273E01"/>
    <w:rsid w:val="00275085"/>
    <w:rsid w:val="00275A03"/>
    <w:rsid w:val="0027718E"/>
    <w:rsid w:val="00282713"/>
    <w:rsid w:val="00282C20"/>
    <w:rsid w:val="00282E86"/>
    <w:rsid w:val="00286F26"/>
    <w:rsid w:val="00291728"/>
    <w:rsid w:val="00292F6A"/>
    <w:rsid w:val="00293F0C"/>
    <w:rsid w:val="00294F9D"/>
    <w:rsid w:val="002A2B1E"/>
    <w:rsid w:val="002A5093"/>
    <w:rsid w:val="002A650F"/>
    <w:rsid w:val="002B064C"/>
    <w:rsid w:val="002B23EA"/>
    <w:rsid w:val="002B4F8F"/>
    <w:rsid w:val="002B5AFE"/>
    <w:rsid w:val="002B5FC4"/>
    <w:rsid w:val="002B7D02"/>
    <w:rsid w:val="002C1636"/>
    <w:rsid w:val="002C316B"/>
    <w:rsid w:val="002C3C58"/>
    <w:rsid w:val="002C5B25"/>
    <w:rsid w:val="002C668C"/>
    <w:rsid w:val="002D0427"/>
    <w:rsid w:val="002D3132"/>
    <w:rsid w:val="002D4A40"/>
    <w:rsid w:val="002D5E38"/>
    <w:rsid w:val="002D6284"/>
    <w:rsid w:val="002E2B43"/>
    <w:rsid w:val="002E34E6"/>
    <w:rsid w:val="002E5859"/>
    <w:rsid w:val="002E7215"/>
    <w:rsid w:val="002E7639"/>
    <w:rsid w:val="002E79D6"/>
    <w:rsid w:val="002F18ED"/>
    <w:rsid w:val="002F2893"/>
    <w:rsid w:val="002F45A1"/>
    <w:rsid w:val="002F4E6B"/>
    <w:rsid w:val="002F65AE"/>
    <w:rsid w:val="002F7154"/>
    <w:rsid w:val="002F7A0E"/>
    <w:rsid w:val="003030DC"/>
    <w:rsid w:val="00303D35"/>
    <w:rsid w:val="003056FC"/>
    <w:rsid w:val="00306CA8"/>
    <w:rsid w:val="0030710D"/>
    <w:rsid w:val="00307C4B"/>
    <w:rsid w:val="00307C81"/>
    <w:rsid w:val="0031081E"/>
    <w:rsid w:val="003119AC"/>
    <w:rsid w:val="003123EF"/>
    <w:rsid w:val="00313A94"/>
    <w:rsid w:val="00315E0E"/>
    <w:rsid w:val="003221BB"/>
    <w:rsid w:val="003239F2"/>
    <w:rsid w:val="00323BE9"/>
    <w:rsid w:val="0032478B"/>
    <w:rsid w:val="003258D4"/>
    <w:rsid w:val="00330A5D"/>
    <w:rsid w:val="00331843"/>
    <w:rsid w:val="00332757"/>
    <w:rsid w:val="003379DB"/>
    <w:rsid w:val="00337DAA"/>
    <w:rsid w:val="00340584"/>
    <w:rsid w:val="003436B6"/>
    <w:rsid w:val="00345D74"/>
    <w:rsid w:val="00347BC9"/>
    <w:rsid w:val="0035022B"/>
    <w:rsid w:val="00350C0D"/>
    <w:rsid w:val="00354084"/>
    <w:rsid w:val="003540E0"/>
    <w:rsid w:val="00360896"/>
    <w:rsid w:val="00360936"/>
    <w:rsid w:val="00363F1B"/>
    <w:rsid w:val="00365F0F"/>
    <w:rsid w:val="003675E7"/>
    <w:rsid w:val="003701D2"/>
    <w:rsid w:val="0037113F"/>
    <w:rsid w:val="003722F6"/>
    <w:rsid w:val="00373911"/>
    <w:rsid w:val="003802F5"/>
    <w:rsid w:val="00380F73"/>
    <w:rsid w:val="00381BDA"/>
    <w:rsid w:val="00381C4D"/>
    <w:rsid w:val="0038388A"/>
    <w:rsid w:val="003874E1"/>
    <w:rsid w:val="00387DC4"/>
    <w:rsid w:val="00390DED"/>
    <w:rsid w:val="0039133F"/>
    <w:rsid w:val="00391380"/>
    <w:rsid w:val="00392B2E"/>
    <w:rsid w:val="0039660E"/>
    <w:rsid w:val="003A088A"/>
    <w:rsid w:val="003A2477"/>
    <w:rsid w:val="003A4B58"/>
    <w:rsid w:val="003A7370"/>
    <w:rsid w:val="003A7CC9"/>
    <w:rsid w:val="003B2C80"/>
    <w:rsid w:val="003B42B1"/>
    <w:rsid w:val="003B55AA"/>
    <w:rsid w:val="003B56CA"/>
    <w:rsid w:val="003B6752"/>
    <w:rsid w:val="003C006E"/>
    <w:rsid w:val="003C11F3"/>
    <w:rsid w:val="003C1598"/>
    <w:rsid w:val="003C1EC6"/>
    <w:rsid w:val="003C236A"/>
    <w:rsid w:val="003C23B5"/>
    <w:rsid w:val="003C75E5"/>
    <w:rsid w:val="003D1D67"/>
    <w:rsid w:val="003D39CF"/>
    <w:rsid w:val="003D5267"/>
    <w:rsid w:val="003D7806"/>
    <w:rsid w:val="003D7BCA"/>
    <w:rsid w:val="003E1305"/>
    <w:rsid w:val="003E5E05"/>
    <w:rsid w:val="003E69A2"/>
    <w:rsid w:val="003E6F96"/>
    <w:rsid w:val="003E7338"/>
    <w:rsid w:val="003F13CB"/>
    <w:rsid w:val="003F1F73"/>
    <w:rsid w:val="003F4372"/>
    <w:rsid w:val="003F74E3"/>
    <w:rsid w:val="003F779C"/>
    <w:rsid w:val="003F7CCD"/>
    <w:rsid w:val="00402350"/>
    <w:rsid w:val="0040252B"/>
    <w:rsid w:val="004037CA"/>
    <w:rsid w:val="00403AB3"/>
    <w:rsid w:val="00404D39"/>
    <w:rsid w:val="00410CE3"/>
    <w:rsid w:val="00412184"/>
    <w:rsid w:val="00414F9B"/>
    <w:rsid w:val="004157CD"/>
    <w:rsid w:val="00417DC0"/>
    <w:rsid w:val="00422A99"/>
    <w:rsid w:val="004231DC"/>
    <w:rsid w:val="00423FED"/>
    <w:rsid w:val="0042461C"/>
    <w:rsid w:val="00424D57"/>
    <w:rsid w:val="004252E1"/>
    <w:rsid w:val="004258E2"/>
    <w:rsid w:val="004305FA"/>
    <w:rsid w:val="004310BD"/>
    <w:rsid w:val="004317B3"/>
    <w:rsid w:val="00431F04"/>
    <w:rsid w:val="00432966"/>
    <w:rsid w:val="00433846"/>
    <w:rsid w:val="00435CED"/>
    <w:rsid w:val="00437B3D"/>
    <w:rsid w:val="00440253"/>
    <w:rsid w:val="004446DB"/>
    <w:rsid w:val="00444927"/>
    <w:rsid w:val="00445A72"/>
    <w:rsid w:val="004461CA"/>
    <w:rsid w:val="00447097"/>
    <w:rsid w:val="004478C0"/>
    <w:rsid w:val="00453B92"/>
    <w:rsid w:val="00454058"/>
    <w:rsid w:val="00462ECC"/>
    <w:rsid w:val="00463C1E"/>
    <w:rsid w:val="0046546C"/>
    <w:rsid w:val="004662FF"/>
    <w:rsid w:val="0046781E"/>
    <w:rsid w:val="00467DCD"/>
    <w:rsid w:val="00472FB9"/>
    <w:rsid w:val="004749D5"/>
    <w:rsid w:val="00475749"/>
    <w:rsid w:val="00475ABB"/>
    <w:rsid w:val="0048013D"/>
    <w:rsid w:val="004805DD"/>
    <w:rsid w:val="0048159D"/>
    <w:rsid w:val="00484265"/>
    <w:rsid w:val="0048726D"/>
    <w:rsid w:val="0049460D"/>
    <w:rsid w:val="004964F4"/>
    <w:rsid w:val="00496E10"/>
    <w:rsid w:val="0049783F"/>
    <w:rsid w:val="004A2D38"/>
    <w:rsid w:val="004A335A"/>
    <w:rsid w:val="004A4407"/>
    <w:rsid w:val="004A581D"/>
    <w:rsid w:val="004B0467"/>
    <w:rsid w:val="004B0596"/>
    <w:rsid w:val="004B0F7E"/>
    <w:rsid w:val="004B1F05"/>
    <w:rsid w:val="004B1F69"/>
    <w:rsid w:val="004B24CD"/>
    <w:rsid w:val="004B26A3"/>
    <w:rsid w:val="004B2C9E"/>
    <w:rsid w:val="004B5CE1"/>
    <w:rsid w:val="004C3CA3"/>
    <w:rsid w:val="004C5CA4"/>
    <w:rsid w:val="004C646F"/>
    <w:rsid w:val="004C7A2D"/>
    <w:rsid w:val="004D077E"/>
    <w:rsid w:val="004D1D8E"/>
    <w:rsid w:val="004D2051"/>
    <w:rsid w:val="004D30C7"/>
    <w:rsid w:val="004D52F9"/>
    <w:rsid w:val="004D763C"/>
    <w:rsid w:val="004D7A9B"/>
    <w:rsid w:val="004E0253"/>
    <w:rsid w:val="004E62A1"/>
    <w:rsid w:val="004E67AD"/>
    <w:rsid w:val="004F0D24"/>
    <w:rsid w:val="004F194B"/>
    <w:rsid w:val="004F22CC"/>
    <w:rsid w:val="004F2832"/>
    <w:rsid w:val="004F2B00"/>
    <w:rsid w:val="004F32D4"/>
    <w:rsid w:val="004F418A"/>
    <w:rsid w:val="004F455F"/>
    <w:rsid w:val="004F6793"/>
    <w:rsid w:val="005006AF"/>
    <w:rsid w:val="005033FA"/>
    <w:rsid w:val="00503F3C"/>
    <w:rsid w:val="00505F4C"/>
    <w:rsid w:val="00506614"/>
    <w:rsid w:val="00507EEB"/>
    <w:rsid w:val="005132B8"/>
    <w:rsid w:val="00513519"/>
    <w:rsid w:val="00515C9A"/>
    <w:rsid w:val="00515D67"/>
    <w:rsid w:val="005176A0"/>
    <w:rsid w:val="0052048E"/>
    <w:rsid w:val="0052061F"/>
    <w:rsid w:val="005213B2"/>
    <w:rsid w:val="00521A4C"/>
    <w:rsid w:val="0052231C"/>
    <w:rsid w:val="00522FF1"/>
    <w:rsid w:val="005242B5"/>
    <w:rsid w:val="005245A4"/>
    <w:rsid w:val="00524824"/>
    <w:rsid w:val="005305B0"/>
    <w:rsid w:val="00531BC6"/>
    <w:rsid w:val="0053270E"/>
    <w:rsid w:val="005339C0"/>
    <w:rsid w:val="00536393"/>
    <w:rsid w:val="00537E36"/>
    <w:rsid w:val="0054178D"/>
    <w:rsid w:val="00541FE6"/>
    <w:rsid w:val="00547F3D"/>
    <w:rsid w:val="00547F9B"/>
    <w:rsid w:val="00550DC0"/>
    <w:rsid w:val="00550E98"/>
    <w:rsid w:val="00550E9A"/>
    <w:rsid w:val="005519C5"/>
    <w:rsid w:val="00551DEF"/>
    <w:rsid w:val="00553EF5"/>
    <w:rsid w:val="005550FF"/>
    <w:rsid w:val="00560A62"/>
    <w:rsid w:val="00560B65"/>
    <w:rsid w:val="00561403"/>
    <w:rsid w:val="005614E3"/>
    <w:rsid w:val="005617C2"/>
    <w:rsid w:val="00561A0C"/>
    <w:rsid w:val="005632A1"/>
    <w:rsid w:val="00563421"/>
    <w:rsid w:val="005647F5"/>
    <w:rsid w:val="0056760C"/>
    <w:rsid w:val="0057267F"/>
    <w:rsid w:val="005733C0"/>
    <w:rsid w:val="0057448C"/>
    <w:rsid w:val="00574695"/>
    <w:rsid w:val="005771D9"/>
    <w:rsid w:val="00577D3E"/>
    <w:rsid w:val="005844F9"/>
    <w:rsid w:val="0058467E"/>
    <w:rsid w:val="005849A5"/>
    <w:rsid w:val="00585CBB"/>
    <w:rsid w:val="00586D67"/>
    <w:rsid w:val="005876F6"/>
    <w:rsid w:val="00587D9B"/>
    <w:rsid w:val="00590AA1"/>
    <w:rsid w:val="005910EC"/>
    <w:rsid w:val="005938C8"/>
    <w:rsid w:val="0059470C"/>
    <w:rsid w:val="005A0143"/>
    <w:rsid w:val="005A05BC"/>
    <w:rsid w:val="005A0775"/>
    <w:rsid w:val="005A0844"/>
    <w:rsid w:val="005A0C6F"/>
    <w:rsid w:val="005A1557"/>
    <w:rsid w:val="005A35F7"/>
    <w:rsid w:val="005A3E4B"/>
    <w:rsid w:val="005A6377"/>
    <w:rsid w:val="005A6720"/>
    <w:rsid w:val="005A77E9"/>
    <w:rsid w:val="005A7A79"/>
    <w:rsid w:val="005B030F"/>
    <w:rsid w:val="005B2A8A"/>
    <w:rsid w:val="005B33A2"/>
    <w:rsid w:val="005B4BDD"/>
    <w:rsid w:val="005B5453"/>
    <w:rsid w:val="005B54EF"/>
    <w:rsid w:val="005B6AC0"/>
    <w:rsid w:val="005B70DD"/>
    <w:rsid w:val="005C1DB9"/>
    <w:rsid w:val="005C2FB7"/>
    <w:rsid w:val="005C4351"/>
    <w:rsid w:val="005D0829"/>
    <w:rsid w:val="005D1CD8"/>
    <w:rsid w:val="005D2553"/>
    <w:rsid w:val="005D2D4C"/>
    <w:rsid w:val="005D3DFE"/>
    <w:rsid w:val="005D523B"/>
    <w:rsid w:val="005E1EAA"/>
    <w:rsid w:val="005E2252"/>
    <w:rsid w:val="005E2A2B"/>
    <w:rsid w:val="005E2B95"/>
    <w:rsid w:val="005E5378"/>
    <w:rsid w:val="005F0AE6"/>
    <w:rsid w:val="005F16BC"/>
    <w:rsid w:val="005F1E9B"/>
    <w:rsid w:val="005F2000"/>
    <w:rsid w:val="005F2E2A"/>
    <w:rsid w:val="005F4FDD"/>
    <w:rsid w:val="005F675A"/>
    <w:rsid w:val="00602095"/>
    <w:rsid w:val="006044C4"/>
    <w:rsid w:val="00604F87"/>
    <w:rsid w:val="00605EF9"/>
    <w:rsid w:val="006063ED"/>
    <w:rsid w:val="006075EB"/>
    <w:rsid w:val="00607EFB"/>
    <w:rsid w:val="00611D2E"/>
    <w:rsid w:val="00612AD3"/>
    <w:rsid w:val="006149CC"/>
    <w:rsid w:val="006175E8"/>
    <w:rsid w:val="00617D72"/>
    <w:rsid w:val="00620B44"/>
    <w:rsid w:val="00622216"/>
    <w:rsid w:val="0062335E"/>
    <w:rsid w:val="00623B08"/>
    <w:rsid w:val="00623F70"/>
    <w:rsid w:val="00626531"/>
    <w:rsid w:val="006265A9"/>
    <w:rsid w:val="00627C0F"/>
    <w:rsid w:val="00632999"/>
    <w:rsid w:val="00635C2D"/>
    <w:rsid w:val="0063611B"/>
    <w:rsid w:val="006404BF"/>
    <w:rsid w:val="006406CB"/>
    <w:rsid w:val="00642164"/>
    <w:rsid w:val="00643DE3"/>
    <w:rsid w:val="006441DF"/>
    <w:rsid w:val="00651A22"/>
    <w:rsid w:val="006527A1"/>
    <w:rsid w:val="00653B51"/>
    <w:rsid w:val="00654E07"/>
    <w:rsid w:val="00656030"/>
    <w:rsid w:val="006563A0"/>
    <w:rsid w:val="006612BB"/>
    <w:rsid w:val="006645CA"/>
    <w:rsid w:val="00665519"/>
    <w:rsid w:val="006662B9"/>
    <w:rsid w:val="00667349"/>
    <w:rsid w:val="00667A5A"/>
    <w:rsid w:val="00672DE5"/>
    <w:rsid w:val="006761BD"/>
    <w:rsid w:val="00676BEB"/>
    <w:rsid w:val="006770CD"/>
    <w:rsid w:val="00682C0B"/>
    <w:rsid w:val="00682F91"/>
    <w:rsid w:val="00686DDC"/>
    <w:rsid w:val="00692434"/>
    <w:rsid w:val="006966CE"/>
    <w:rsid w:val="00697125"/>
    <w:rsid w:val="006977D6"/>
    <w:rsid w:val="00697FAF"/>
    <w:rsid w:val="006A23B5"/>
    <w:rsid w:val="006A4D59"/>
    <w:rsid w:val="006A5000"/>
    <w:rsid w:val="006A793B"/>
    <w:rsid w:val="006A7AE5"/>
    <w:rsid w:val="006A7F94"/>
    <w:rsid w:val="006B21F2"/>
    <w:rsid w:val="006B4152"/>
    <w:rsid w:val="006B44CC"/>
    <w:rsid w:val="006C2EB4"/>
    <w:rsid w:val="006C3B0C"/>
    <w:rsid w:val="006C461D"/>
    <w:rsid w:val="006C4D4E"/>
    <w:rsid w:val="006C5F6E"/>
    <w:rsid w:val="006C6300"/>
    <w:rsid w:val="006C6AFA"/>
    <w:rsid w:val="006C722B"/>
    <w:rsid w:val="006C7B74"/>
    <w:rsid w:val="006D0668"/>
    <w:rsid w:val="006D0D68"/>
    <w:rsid w:val="006D0DD5"/>
    <w:rsid w:val="006D1340"/>
    <w:rsid w:val="006D4798"/>
    <w:rsid w:val="006D4D73"/>
    <w:rsid w:val="006D6CD6"/>
    <w:rsid w:val="006E0CBE"/>
    <w:rsid w:val="006E0EDA"/>
    <w:rsid w:val="006E40AE"/>
    <w:rsid w:val="006F05B1"/>
    <w:rsid w:val="006F1F95"/>
    <w:rsid w:val="006F333E"/>
    <w:rsid w:val="006F46E5"/>
    <w:rsid w:val="006F48E9"/>
    <w:rsid w:val="006F4DA7"/>
    <w:rsid w:val="0070362D"/>
    <w:rsid w:val="007036E9"/>
    <w:rsid w:val="00703A31"/>
    <w:rsid w:val="0070442D"/>
    <w:rsid w:val="00706290"/>
    <w:rsid w:val="007074C2"/>
    <w:rsid w:val="00714806"/>
    <w:rsid w:val="00716ABD"/>
    <w:rsid w:val="00720A23"/>
    <w:rsid w:val="00723587"/>
    <w:rsid w:val="00723690"/>
    <w:rsid w:val="0073135B"/>
    <w:rsid w:val="00731E65"/>
    <w:rsid w:val="007328B7"/>
    <w:rsid w:val="00732CB2"/>
    <w:rsid w:val="00733360"/>
    <w:rsid w:val="00734EE4"/>
    <w:rsid w:val="00734F0B"/>
    <w:rsid w:val="00736B2C"/>
    <w:rsid w:val="00736FC0"/>
    <w:rsid w:val="00740EEE"/>
    <w:rsid w:val="00742AE2"/>
    <w:rsid w:val="007438A8"/>
    <w:rsid w:val="00744307"/>
    <w:rsid w:val="00744901"/>
    <w:rsid w:val="00744B72"/>
    <w:rsid w:val="00745073"/>
    <w:rsid w:val="00752895"/>
    <w:rsid w:val="0075312F"/>
    <w:rsid w:val="00753C11"/>
    <w:rsid w:val="00754A8D"/>
    <w:rsid w:val="007550AB"/>
    <w:rsid w:val="00755597"/>
    <w:rsid w:val="00756545"/>
    <w:rsid w:val="00756EF7"/>
    <w:rsid w:val="00762FED"/>
    <w:rsid w:val="00765A42"/>
    <w:rsid w:val="0076741E"/>
    <w:rsid w:val="007710D2"/>
    <w:rsid w:val="00773C15"/>
    <w:rsid w:val="00774FDB"/>
    <w:rsid w:val="00777403"/>
    <w:rsid w:val="00777DDF"/>
    <w:rsid w:val="00780828"/>
    <w:rsid w:val="00780833"/>
    <w:rsid w:val="00780A13"/>
    <w:rsid w:val="00782AD8"/>
    <w:rsid w:val="0079012B"/>
    <w:rsid w:val="00790B26"/>
    <w:rsid w:val="0079295C"/>
    <w:rsid w:val="0079330C"/>
    <w:rsid w:val="00795C8D"/>
    <w:rsid w:val="0079605A"/>
    <w:rsid w:val="00796BB0"/>
    <w:rsid w:val="007971A9"/>
    <w:rsid w:val="007A27C9"/>
    <w:rsid w:val="007A2948"/>
    <w:rsid w:val="007A2E95"/>
    <w:rsid w:val="007A2F92"/>
    <w:rsid w:val="007A37A6"/>
    <w:rsid w:val="007A4DF3"/>
    <w:rsid w:val="007A704C"/>
    <w:rsid w:val="007A7412"/>
    <w:rsid w:val="007B0C53"/>
    <w:rsid w:val="007B1CF7"/>
    <w:rsid w:val="007B55B1"/>
    <w:rsid w:val="007B6A82"/>
    <w:rsid w:val="007B6DCE"/>
    <w:rsid w:val="007C0A68"/>
    <w:rsid w:val="007C4ACD"/>
    <w:rsid w:val="007D03AE"/>
    <w:rsid w:val="007D2DCB"/>
    <w:rsid w:val="007D5FBB"/>
    <w:rsid w:val="007E21D1"/>
    <w:rsid w:val="007E5E70"/>
    <w:rsid w:val="007E6F1F"/>
    <w:rsid w:val="007E7899"/>
    <w:rsid w:val="007F00F2"/>
    <w:rsid w:val="007F19D5"/>
    <w:rsid w:val="007F3E0D"/>
    <w:rsid w:val="007F406F"/>
    <w:rsid w:val="007F5A86"/>
    <w:rsid w:val="007F71DA"/>
    <w:rsid w:val="0080052D"/>
    <w:rsid w:val="00801673"/>
    <w:rsid w:val="00802DD5"/>
    <w:rsid w:val="00803E2E"/>
    <w:rsid w:val="00807436"/>
    <w:rsid w:val="00810968"/>
    <w:rsid w:val="00811EF2"/>
    <w:rsid w:val="0081212E"/>
    <w:rsid w:val="00813593"/>
    <w:rsid w:val="00816264"/>
    <w:rsid w:val="00816A56"/>
    <w:rsid w:val="00816D6C"/>
    <w:rsid w:val="0082374B"/>
    <w:rsid w:val="00824550"/>
    <w:rsid w:val="00826AEA"/>
    <w:rsid w:val="00827F9D"/>
    <w:rsid w:val="00830A5A"/>
    <w:rsid w:val="0083217B"/>
    <w:rsid w:val="00834066"/>
    <w:rsid w:val="00835B58"/>
    <w:rsid w:val="00837530"/>
    <w:rsid w:val="00837643"/>
    <w:rsid w:val="00837C30"/>
    <w:rsid w:val="00841A56"/>
    <w:rsid w:val="00842D92"/>
    <w:rsid w:val="008433CA"/>
    <w:rsid w:val="0084799B"/>
    <w:rsid w:val="00851303"/>
    <w:rsid w:val="00856665"/>
    <w:rsid w:val="008602F4"/>
    <w:rsid w:val="00861B2B"/>
    <w:rsid w:val="0086366B"/>
    <w:rsid w:val="00866057"/>
    <w:rsid w:val="00867445"/>
    <w:rsid w:val="00871B77"/>
    <w:rsid w:val="00883FD0"/>
    <w:rsid w:val="00887760"/>
    <w:rsid w:val="0089066C"/>
    <w:rsid w:val="008911AA"/>
    <w:rsid w:val="008926CC"/>
    <w:rsid w:val="00892C1C"/>
    <w:rsid w:val="00893463"/>
    <w:rsid w:val="00894F3B"/>
    <w:rsid w:val="008A749D"/>
    <w:rsid w:val="008A75D3"/>
    <w:rsid w:val="008A7CAA"/>
    <w:rsid w:val="008B2CB6"/>
    <w:rsid w:val="008B517E"/>
    <w:rsid w:val="008B5C9A"/>
    <w:rsid w:val="008B6208"/>
    <w:rsid w:val="008B643D"/>
    <w:rsid w:val="008C03E5"/>
    <w:rsid w:val="008C077E"/>
    <w:rsid w:val="008C087E"/>
    <w:rsid w:val="008C4FC4"/>
    <w:rsid w:val="008C56AC"/>
    <w:rsid w:val="008C7000"/>
    <w:rsid w:val="008D056E"/>
    <w:rsid w:val="008D2A0A"/>
    <w:rsid w:val="008D360A"/>
    <w:rsid w:val="008D3D16"/>
    <w:rsid w:val="008D5DFD"/>
    <w:rsid w:val="008D726C"/>
    <w:rsid w:val="008D7A3D"/>
    <w:rsid w:val="008E0B08"/>
    <w:rsid w:val="008E0FDF"/>
    <w:rsid w:val="008E336B"/>
    <w:rsid w:val="008E3E00"/>
    <w:rsid w:val="008E67CF"/>
    <w:rsid w:val="008F0202"/>
    <w:rsid w:val="008F2724"/>
    <w:rsid w:val="008F3630"/>
    <w:rsid w:val="008F3659"/>
    <w:rsid w:val="008F3AA1"/>
    <w:rsid w:val="008F711D"/>
    <w:rsid w:val="00900903"/>
    <w:rsid w:val="00903922"/>
    <w:rsid w:val="009051A5"/>
    <w:rsid w:val="00905382"/>
    <w:rsid w:val="0091400E"/>
    <w:rsid w:val="00916C47"/>
    <w:rsid w:val="0092334B"/>
    <w:rsid w:val="00923EA7"/>
    <w:rsid w:val="00927E35"/>
    <w:rsid w:val="00930516"/>
    <w:rsid w:val="00932318"/>
    <w:rsid w:val="00932DB7"/>
    <w:rsid w:val="00933282"/>
    <w:rsid w:val="009353BD"/>
    <w:rsid w:val="009354DC"/>
    <w:rsid w:val="00937447"/>
    <w:rsid w:val="009376B7"/>
    <w:rsid w:val="00941042"/>
    <w:rsid w:val="00942417"/>
    <w:rsid w:val="0094378A"/>
    <w:rsid w:val="00943838"/>
    <w:rsid w:val="00943BAD"/>
    <w:rsid w:val="009448D3"/>
    <w:rsid w:val="00945B1A"/>
    <w:rsid w:val="0094794C"/>
    <w:rsid w:val="00947A34"/>
    <w:rsid w:val="0095131D"/>
    <w:rsid w:val="009530F2"/>
    <w:rsid w:val="00954433"/>
    <w:rsid w:val="00954499"/>
    <w:rsid w:val="009547E8"/>
    <w:rsid w:val="009562CC"/>
    <w:rsid w:val="009712F3"/>
    <w:rsid w:val="009777C7"/>
    <w:rsid w:val="009805E4"/>
    <w:rsid w:val="00984E36"/>
    <w:rsid w:val="009870FD"/>
    <w:rsid w:val="0099076C"/>
    <w:rsid w:val="00990D57"/>
    <w:rsid w:val="00990ED7"/>
    <w:rsid w:val="009919E8"/>
    <w:rsid w:val="00992C95"/>
    <w:rsid w:val="00996D5F"/>
    <w:rsid w:val="009A03E7"/>
    <w:rsid w:val="009A0DD7"/>
    <w:rsid w:val="009A2D03"/>
    <w:rsid w:val="009A5EA6"/>
    <w:rsid w:val="009B258D"/>
    <w:rsid w:val="009B33FA"/>
    <w:rsid w:val="009B3D76"/>
    <w:rsid w:val="009B63B9"/>
    <w:rsid w:val="009B71F7"/>
    <w:rsid w:val="009B7C95"/>
    <w:rsid w:val="009C1DF5"/>
    <w:rsid w:val="009C4316"/>
    <w:rsid w:val="009C7E11"/>
    <w:rsid w:val="009D3070"/>
    <w:rsid w:val="009D3AAD"/>
    <w:rsid w:val="009D481D"/>
    <w:rsid w:val="009D563F"/>
    <w:rsid w:val="009D5BE6"/>
    <w:rsid w:val="009D5C86"/>
    <w:rsid w:val="009D6A82"/>
    <w:rsid w:val="009E01AF"/>
    <w:rsid w:val="009E127D"/>
    <w:rsid w:val="009E56E2"/>
    <w:rsid w:val="009E6B07"/>
    <w:rsid w:val="009F0E3B"/>
    <w:rsid w:val="009F1730"/>
    <w:rsid w:val="009F25B7"/>
    <w:rsid w:val="009F2682"/>
    <w:rsid w:val="009F47C0"/>
    <w:rsid w:val="009F4EF5"/>
    <w:rsid w:val="009F5532"/>
    <w:rsid w:val="009F5DC9"/>
    <w:rsid w:val="009F671E"/>
    <w:rsid w:val="009F7677"/>
    <w:rsid w:val="009F7858"/>
    <w:rsid w:val="00A01019"/>
    <w:rsid w:val="00A011FC"/>
    <w:rsid w:val="00A036B1"/>
    <w:rsid w:val="00A043F6"/>
    <w:rsid w:val="00A05112"/>
    <w:rsid w:val="00A0597D"/>
    <w:rsid w:val="00A066E6"/>
    <w:rsid w:val="00A125F6"/>
    <w:rsid w:val="00A12851"/>
    <w:rsid w:val="00A129C9"/>
    <w:rsid w:val="00A1614C"/>
    <w:rsid w:val="00A16985"/>
    <w:rsid w:val="00A16E81"/>
    <w:rsid w:val="00A203CD"/>
    <w:rsid w:val="00A22EBF"/>
    <w:rsid w:val="00A24628"/>
    <w:rsid w:val="00A24823"/>
    <w:rsid w:val="00A25092"/>
    <w:rsid w:val="00A33602"/>
    <w:rsid w:val="00A33AAE"/>
    <w:rsid w:val="00A37845"/>
    <w:rsid w:val="00A4142E"/>
    <w:rsid w:val="00A4499A"/>
    <w:rsid w:val="00A454E2"/>
    <w:rsid w:val="00A47062"/>
    <w:rsid w:val="00A47627"/>
    <w:rsid w:val="00A51034"/>
    <w:rsid w:val="00A52599"/>
    <w:rsid w:val="00A56B95"/>
    <w:rsid w:val="00A5734F"/>
    <w:rsid w:val="00A6015E"/>
    <w:rsid w:val="00A62692"/>
    <w:rsid w:val="00A62E72"/>
    <w:rsid w:val="00A65A71"/>
    <w:rsid w:val="00A6753C"/>
    <w:rsid w:val="00A73E9F"/>
    <w:rsid w:val="00A750CA"/>
    <w:rsid w:val="00A75CE4"/>
    <w:rsid w:val="00A76C9A"/>
    <w:rsid w:val="00A76D9C"/>
    <w:rsid w:val="00A7716F"/>
    <w:rsid w:val="00A773F8"/>
    <w:rsid w:val="00A8151A"/>
    <w:rsid w:val="00A8459B"/>
    <w:rsid w:val="00A84D80"/>
    <w:rsid w:val="00A84E54"/>
    <w:rsid w:val="00A85082"/>
    <w:rsid w:val="00A877F3"/>
    <w:rsid w:val="00A91127"/>
    <w:rsid w:val="00A91F85"/>
    <w:rsid w:val="00A923B5"/>
    <w:rsid w:val="00A9366E"/>
    <w:rsid w:val="00A94A83"/>
    <w:rsid w:val="00A96364"/>
    <w:rsid w:val="00A9757F"/>
    <w:rsid w:val="00AA1683"/>
    <w:rsid w:val="00AA3573"/>
    <w:rsid w:val="00AA3679"/>
    <w:rsid w:val="00AA3CA8"/>
    <w:rsid w:val="00AA40AD"/>
    <w:rsid w:val="00AA6E49"/>
    <w:rsid w:val="00AB02C2"/>
    <w:rsid w:val="00AB1781"/>
    <w:rsid w:val="00AB1CE0"/>
    <w:rsid w:val="00AB45A4"/>
    <w:rsid w:val="00AB4B97"/>
    <w:rsid w:val="00AB6782"/>
    <w:rsid w:val="00AC192C"/>
    <w:rsid w:val="00AC247D"/>
    <w:rsid w:val="00AD39EA"/>
    <w:rsid w:val="00AD4A90"/>
    <w:rsid w:val="00AD4D8B"/>
    <w:rsid w:val="00AD58CB"/>
    <w:rsid w:val="00AD6737"/>
    <w:rsid w:val="00AD76C2"/>
    <w:rsid w:val="00AE0314"/>
    <w:rsid w:val="00AE2DCE"/>
    <w:rsid w:val="00AE2F78"/>
    <w:rsid w:val="00AE3E0E"/>
    <w:rsid w:val="00AE4D70"/>
    <w:rsid w:val="00AF1F44"/>
    <w:rsid w:val="00AF3E81"/>
    <w:rsid w:val="00AF5A67"/>
    <w:rsid w:val="00AF5F01"/>
    <w:rsid w:val="00AF7112"/>
    <w:rsid w:val="00AF75AA"/>
    <w:rsid w:val="00B00D44"/>
    <w:rsid w:val="00B00FA6"/>
    <w:rsid w:val="00B02045"/>
    <w:rsid w:val="00B0263B"/>
    <w:rsid w:val="00B02CD1"/>
    <w:rsid w:val="00B03394"/>
    <w:rsid w:val="00B1074A"/>
    <w:rsid w:val="00B10FC1"/>
    <w:rsid w:val="00B1134D"/>
    <w:rsid w:val="00B11CFE"/>
    <w:rsid w:val="00B1348B"/>
    <w:rsid w:val="00B1379C"/>
    <w:rsid w:val="00B15508"/>
    <w:rsid w:val="00B21681"/>
    <w:rsid w:val="00B228F7"/>
    <w:rsid w:val="00B231EF"/>
    <w:rsid w:val="00B235A5"/>
    <w:rsid w:val="00B33ECD"/>
    <w:rsid w:val="00B37ADD"/>
    <w:rsid w:val="00B41997"/>
    <w:rsid w:val="00B43583"/>
    <w:rsid w:val="00B44493"/>
    <w:rsid w:val="00B448F6"/>
    <w:rsid w:val="00B46170"/>
    <w:rsid w:val="00B5007B"/>
    <w:rsid w:val="00B51ED7"/>
    <w:rsid w:val="00B52223"/>
    <w:rsid w:val="00B52EC8"/>
    <w:rsid w:val="00B555E7"/>
    <w:rsid w:val="00B562E2"/>
    <w:rsid w:val="00B56517"/>
    <w:rsid w:val="00B5673B"/>
    <w:rsid w:val="00B60ECF"/>
    <w:rsid w:val="00B64FB2"/>
    <w:rsid w:val="00B66C99"/>
    <w:rsid w:val="00B67C6D"/>
    <w:rsid w:val="00B709CB"/>
    <w:rsid w:val="00B717CD"/>
    <w:rsid w:val="00B72610"/>
    <w:rsid w:val="00B762AD"/>
    <w:rsid w:val="00B779C6"/>
    <w:rsid w:val="00B80079"/>
    <w:rsid w:val="00B810F0"/>
    <w:rsid w:val="00B81BE6"/>
    <w:rsid w:val="00B846BE"/>
    <w:rsid w:val="00B8565C"/>
    <w:rsid w:val="00B86F9E"/>
    <w:rsid w:val="00B876DE"/>
    <w:rsid w:val="00B9057F"/>
    <w:rsid w:val="00B91E2F"/>
    <w:rsid w:val="00B944D5"/>
    <w:rsid w:val="00B94905"/>
    <w:rsid w:val="00B959D2"/>
    <w:rsid w:val="00BA00A7"/>
    <w:rsid w:val="00BA2FBA"/>
    <w:rsid w:val="00BA4A10"/>
    <w:rsid w:val="00BA56EC"/>
    <w:rsid w:val="00BB05CE"/>
    <w:rsid w:val="00BB0C0C"/>
    <w:rsid w:val="00BB1620"/>
    <w:rsid w:val="00BB42E2"/>
    <w:rsid w:val="00BB4A2C"/>
    <w:rsid w:val="00BB4BA6"/>
    <w:rsid w:val="00BB4FC4"/>
    <w:rsid w:val="00BB53C6"/>
    <w:rsid w:val="00BB71A4"/>
    <w:rsid w:val="00BB7B05"/>
    <w:rsid w:val="00BC159A"/>
    <w:rsid w:val="00BC4D9F"/>
    <w:rsid w:val="00BC576D"/>
    <w:rsid w:val="00BC77DC"/>
    <w:rsid w:val="00BC7A38"/>
    <w:rsid w:val="00BD142E"/>
    <w:rsid w:val="00BD2D5E"/>
    <w:rsid w:val="00BD2DBD"/>
    <w:rsid w:val="00BD50A8"/>
    <w:rsid w:val="00BD6A53"/>
    <w:rsid w:val="00BE0529"/>
    <w:rsid w:val="00BE08E1"/>
    <w:rsid w:val="00BE11E4"/>
    <w:rsid w:val="00BE14CA"/>
    <w:rsid w:val="00BE2EB8"/>
    <w:rsid w:val="00BE308C"/>
    <w:rsid w:val="00BE3CE2"/>
    <w:rsid w:val="00BE7B09"/>
    <w:rsid w:val="00BF0412"/>
    <w:rsid w:val="00BF3C7C"/>
    <w:rsid w:val="00BF4C2D"/>
    <w:rsid w:val="00C007EA"/>
    <w:rsid w:val="00C04F5A"/>
    <w:rsid w:val="00C06553"/>
    <w:rsid w:val="00C068D5"/>
    <w:rsid w:val="00C076EF"/>
    <w:rsid w:val="00C07CF3"/>
    <w:rsid w:val="00C10015"/>
    <w:rsid w:val="00C160EE"/>
    <w:rsid w:val="00C16189"/>
    <w:rsid w:val="00C17EDD"/>
    <w:rsid w:val="00C23EEB"/>
    <w:rsid w:val="00C248E7"/>
    <w:rsid w:val="00C26B2E"/>
    <w:rsid w:val="00C27334"/>
    <w:rsid w:val="00C3112B"/>
    <w:rsid w:val="00C3166F"/>
    <w:rsid w:val="00C32BBE"/>
    <w:rsid w:val="00C33C06"/>
    <w:rsid w:val="00C36904"/>
    <w:rsid w:val="00C37CAE"/>
    <w:rsid w:val="00C40CE7"/>
    <w:rsid w:val="00C41392"/>
    <w:rsid w:val="00C41C88"/>
    <w:rsid w:val="00C422CE"/>
    <w:rsid w:val="00C428DF"/>
    <w:rsid w:val="00C4495E"/>
    <w:rsid w:val="00C467EF"/>
    <w:rsid w:val="00C47FE5"/>
    <w:rsid w:val="00C51A21"/>
    <w:rsid w:val="00C52297"/>
    <w:rsid w:val="00C544E0"/>
    <w:rsid w:val="00C549D8"/>
    <w:rsid w:val="00C562B7"/>
    <w:rsid w:val="00C57B08"/>
    <w:rsid w:val="00C6124D"/>
    <w:rsid w:val="00C655E6"/>
    <w:rsid w:val="00C65EAA"/>
    <w:rsid w:val="00C70DD2"/>
    <w:rsid w:val="00C70FEB"/>
    <w:rsid w:val="00C71250"/>
    <w:rsid w:val="00C71DB0"/>
    <w:rsid w:val="00C752D6"/>
    <w:rsid w:val="00C819A5"/>
    <w:rsid w:val="00C8304A"/>
    <w:rsid w:val="00C874CA"/>
    <w:rsid w:val="00C90F21"/>
    <w:rsid w:val="00C90F51"/>
    <w:rsid w:val="00C954BF"/>
    <w:rsid w:val="00C97A48"/>
    <w:rsid w:val="00C97B09"/>
    <w:rsid w:val="00CA1954"/>
    <w:rsid w:val="00CA506A"/>
    <w:rsid w:val="00CB2176"/>
    <w:rsid w:val="00CB4A81"/>
    <w:rsid w:val="00CB6391"/>
    <w:rsid w:val="00CB7DD8"/>
    <w:rsid w:val="00CB7E4F"/>
    <w:rsid w:val="00CC07F9"/>
    <w:rsid w:val="00CC38A3"/>
    <w:rsid w:val="00CD0570"/>
    <w:rsid w:val="00CD0578"/>
    <w:rsid w:val="00CD082E"/>
    <w:rsid w:val="00CD246C"/>
    <w:rsid w:val="00CD7A2D"/>
    <w:rsid w:val="00CE2400"/>
    <w:rsid w:val="00CE31AF"/>
    <w:rsid w:val="00CE43D2"/>
    <w:rsid w:val="00CE4AA9"/>
    <w:rsid w:val="00CE505E"/>
    <w:rsid w:val="00CE7220"/>
    <w:rsid w:val="00CE7B2A"/>
    <w:rsid w:val="00CF19CB"/>
    <w:rsid w:val="00CF23CD"/>
    <w:rsid w:val="00CF31DB"/>
    <w:rsid w:val="00CF58EA"/>
    <w:rsid w:val="00CF6280"/>
    <w:rsid w:val="00CF66BD"/>
    <w:rsid w:val="00D00052"/>
    <w:rsid w:val="00D036E0"/>
    <w:rsid w:val="00D03A1B"/>
    <w:rsid w:val="00D04F41"/>
    <w:rsid w:val="00D06082"/>
    <w:rsid w:val="00D07F38"/>
    <w:rsid w:val="00D10159"/>
    <w:rsid w:val="00D110EC"/>
    <w:rsid w:val="00D111F5"/>
    <w:rsid w:val="00D11AF0"/>
    <w:rsid w:val="00D13BF0"/>
    <w:rsid w:val="00D1450C"/>
    <w:rsid w:val="00D147F1"/>
    <w:rsid w:val="00D16F5A"/>
    <w:rsid w:val="00D176FD"/>
    <w:rsid w:val="00D213C3"/>
    <w:rsid w:val="00D213C4"/>
    <w:rsid w:val="00D2374C"/>
    <w:rsid w:val="00D2471A"/>
    <w:rsid w:val="00D24B10"/>
    <w:rsid w:val="00D2532F"/>
    <w:rsid w:val="00D26578"/>
    <w:rsid w:val="00D3435F"/>
    <w:rsid w:val="00D37E08"/>
    <w:rsid w:val="00D445A9"/>
    <w:rsid w:val="00D454DC"/>
    <w:rsid w:val="00D45C20"/>
    <w:rsid w:val="00D53800"/>
    <w:rsid w:val="00D5412D"/>
    <w:rsid w:val="00D54F17"/>
    <w:rsid w:val="00D5565F"/>
    <w:rsid w:val="00D6197A"/>
    <w:rsid w:val="00D62AB5"/>
    <w:rsid w:val="00D62FBD"/>
    <w:rsid w:val="00D65576"/>
    <w:rsid w:val="00D65907"/>
    <w:rsid w:val="00D65BA5"/>
    <w:rsid w:val="00D67232"/>
    <w:rsid w:val="00D72155"/>
    <w:rsid w:val="00D737D1"/>
    <w:rsid w:val="00D75879"/>
    <w:rsid w:val="00D75961"/>
    <w:rsid w:val="00D80F3D"/>
    <w:rsid w:val="00D812FD"/>
    <w:rsid w:val="00D82B5C"/>
    <w:rsid w:val="00D8418E"/>
    <w:rsid w:val="00D849A7"/>
    <w:rsid w:val="00D84AAF"/>
    <w:rsid w:val="00D86287"/>
    <w:rsid w:val="00D8690E"/>
    <w:rsid w:val="00D86A80"/>
    <w:rsid w:val="00D874AE"/>
    <w:rsid w:val="00D877A8"/>
    <w:rsid w:val="00D9161E"/>
    <w:rsid w:val="00D94383"/>
    <w:rsid w:val="00D944D7"/>
    <w:rsid w:val="00D94FAB"/>
    <w:rsid w:val="00D960DD"/>
    <w:rsid w:val="00D976E3"/>
    <w:rsid w:val="00D97997"/>
    <w:rsid w:val="00DA225A"/>
    <w:rsid w:val="00DA5F80"/>
    <w:rsid w:val="00DB0259"/>
    <w:rsid w:val="00DB31BA"/>
    <w:rsid w:val="00DB5F44"/>
    <w:rsid w:val="00DC671F"/>
    <w:rsid w:val="00DC7F17"/>
    <w:rsid w:val="00DD4B4F"/>
    <w:rsid w:val="00DD6882"/>
    <w:rsid w:val="00DD7A02"/>
    <w:rsid w:val="00DE3FE5"/>
    <w:rsid w:val="00DE559A"/>
    <w:rsid w:val="00DE65B3"/>
    <w:rsid w:val="00DE7895"/>
    <w:rsid w:val="00DF0911"/>
    <w:rsid w:val="00DF4567"/>
    <w:rsid w:val="00DF5711"/>
    <w:rsid w:val="00DF7D16"/>
    <w:rsid w:val="00E00496"/>
    <w:rsid w:val="00E0075F"/>
    <w:rsid w:val="00E008C2"/>
    <w:rsid w:val="00E02365"/>
    <w:rsid w:val="00E0470B"/>
    <w:rsid w:val="00E048B0"/>
    <w:rsid w:val="00E05330"/>
    <w:rsid w:val="00E117F0"/>
    <w:rsid w:val="00E12DA0"/>
    <w:rsid w:val="00E13237"/>
    <w:rsid w:val="00E14F13"/>
    <w:rsid w:val="00E1596F"/>
    <w:rsid w:val="00E160B7"/>
    <w:rsid w:val="00E21F3A"/>
    <w:rsid w:val="00E22FDC"/>
    <w:rsid w:val="00E2449E"/>
    <w:rsid w:val="00E249D2"/>
    <w:rsid w:val="00E25570"/>
    <w:rsid w:val="00E27196"/>
    <w:rsid w:val="00E274AE"/>
    <w:rsid w:val="00E317C7"/>
    <w:rsid w:val="00E31D37"/>
    <w:rsid w:val="00E3305A"/>
    <w:rsid w:val="00E34D55"/>
    <w:rsid w:val="00E3703A"/>
    <w:rsid w:val="00E4138F"/>
    <w:rsid w:val="00E41FF6"/>
    <w:rsid w:val="00E42050"/>
    <w:rsid w:val="00E460B3"/>
    <w:rsid w:val="00E523A1"/>
    <w:rsid w:val="00E5529C"/>
    <w:rsid w:val="00E56AC8"/>
    <w:rsid w:val="00E56F4F"/>
    <w:rsid w:val="00E57CEE"/>
    <w:rsid w:val="00E62BE4"/>
    <w:rsid w:val="00E6369C"/>
    <w:rsid w:val="00E66629"/>
    <w:rsid w:val="00E66A26"/>
    <w:rsid w:val="00E67759"/>
    <w:rsid w:val="00E70EF5"/>
    <w:rsid w:val="00E76C18"/>
    <w:rsid w:val="00E8197E"/>
    <w:rsid w:val="00E82296"/>
    <w:rsid w:val="00E82C4A"/>
    <w:rsid w:val="00E855F4"/>
    <w:rsid w:val="00E867B0"/>
    <w:rsid w:val="00E9181B"/>
    <w:rsid w:val="00EA11A5"/>
    <w:rsid w:val="00EA392D"/>
    <w:rsid w:val="00EA3BB0"/>
    <w:rsid w:val="00EA5ED7"/>
    <w:rsid w:val="00EB1D66"/>
    <w:rsid w:val="00EB3AC8"/>
    <w:rsid w:val="00EB3AD8"/>
    <w:rsid w:val="00EB3FA6"/>
    <w:rsid w:val="00EB45E7"/>
    <w:rsid w:val="00EB7F45"/>
    <w:rsid w:val="00EC0B0F"/>
    <w:rsid w:val="00EC129F"/>
    <w:rsid w:val="00EC25D9"/>
    <w:rsid w:val="00EC4E9E"/>
    <w:rsid w:val="00EC50C6"/>
    <w:rsid w:val="00EC58E9"/>
    <w:rsid w:val="00EC73A2"/>
    <w:rsid w:val="00EC7407"/>
    <w:rsid w:val="00EC7757"/>
    <w:rsid w:val="00ED059C"/>
    <w:rsid w:val="00ED0B7E"/>
    <w:rsid w:val="00ED1BE6"/>
    <w:rsid w:val="00ED279B"/>
    <w:rsid w:val="00ED2B8F"/>
    <w:rsid w:val="00ED7708"/>
    <w:rsid w:val="00ED7CA1"/>
    <w:rsid w:val="00EE20E3"/>
    <w:rsid w:val="00EE5803"/>
    <w:rsid w:val="00EE63E1"/>
    <w:rsid w:val="00EE7D7A"/>
    <w:rsid w:val="00EF0467"/>
    <w:rsid w:val="00EF1260"/>
    <w:rsid w:val="00EF3B5B"/>
    <w:rsid w:val="00EF3C91"/>
    <w:rsid w:val="00EF56E5"/>
    <w:rsid w:val="00EF7643"/>
    <w:rsid w:val="00EF799F"/>
    <w:rsid w:val="00F02A24"/>
    <w:rsid w:val="00F02C34"/>
    <w:rsid w:val="00F02EB4"/>
    <w:rsid w:val="00F030B8"/>
    <w:rsid w:val="00F030BA"/>
    <w:rsid w:val="00F03677"/>
    <w:rsid w:val="00F04E4E"/>
    <w:rsid w:val="00F05251"/>
    <w:rsid w:val="00F10B34"/>
    <w:rsid w:val="00F111BA"/>
    <w:rsid w:val="00F11AFF"/>
    <w:rsid w:val="00F1348E"/>
    <w:rsid w:val="00F137B1"/>
    <w:rsid w:val="00F1394A"/>
    <w:rsid w:val="00F13AD8"/>
    <w:rsid w:val="00F13B5C"/>
    <w:rsid w:val="00F163FF"/>
    <w:rsid w:val="00F17D43"/>
    <w:rsid w:val="00F20085"/>
    <w:rsid w:val="00F20FC3"/>
    <w:rsid w:val="00F225D8"/>
    <w:rsid w:val="00F31D36"/>
    <w:rsid w:val="00F337E3"/>
    <w:rsid w:val="00F3742B"/>
    <w:rsid w:val="00F405A3"/>
    <w:rsid w:val="00F43594"/>
    <w:rsid w:val="00F44060"/>
    <w:rsid w:val="00F45837"/>
    <w:rsid w:val="00F47E0B"/>
    <w:rsid w:val="00F501FA"/>
    <w:rsid w:val="00F50E30"/>
    <w:rsid w:val="00F51CDF"/>
    <w:rsid w:val="00F523DD"/>
    <w:rsid w:val="00F528B0"/>
    <w:rsid w:val="00F56BF7"/>
    <w:rsid w:val="00F5793C"/>
    <w:rsid w:val="00F602CB"/>
    <w:rsid w:val="00F60387"/>
    <w:rsid w:val="00F624E2"/>
    <w:rsid w:val="00F62A6B"/>
    <w:rsid w:val="00F632A9"/>
    <w:rsid w:val="00F6518D"/>
    <w:rsid w:val="00F7172E"/>
    <w:rsid w:val="00F718A3"/>
    <w:rsid w:val="00F728A6"/>
    <w:rsid w:val="00F72BD7"/>
    <w:rsid w:val="00F74BAB"/>
    <w:rsid w:val="00F7563E"/>
    <w:rsid w:val="00F77852"/>
    <w:rsid w:val="00F808D6"/>
    <w:rsid w:val="00F82C80"/>
    <w:rsid w:val="00F84C79"/>
    <w:rsid w:val="00F86480"/>
    <w:rsid w:val="00F86F5D"/>
    <w:rsid w:val="00F90750"/>
    <w:rsid w:val="00F90EF2"/>
    <w:rsid w:val="00F9166F"/>
    <w:rsid w:val="00F91ACA"/>
    <w:rsid w:val="00F91D7D"/>
    <w:rsid w:val="00F920F5"/>
    <w:rsid w:val="00F933F7"/>
    <w:rsid w:val="00F93C8D"/>
    <w:rsid w:val="00F95196"/>
    <w:rsid w:val="00F96114"/>
    <w:rsid w:val="00F96629"/>
    <w:rsid w:val="00F970DA"/>
    <w:rsid w:val="00FA1921"/>
    <w:rsid w:val="00FA2C6C"/>
    <w:rsid w:val="00FA2CFF"/>
    <w:rsid w:val="00FA3F4E"/>
    <w:rsid w:val="00FA4C58"/>
    <w:rsid w:val="00FA5459"/>
    <w:rsid w:val="00FA5F63"/>
    <w:rsid w:val="00FB0823"/>
    <w:rsid w:val="00FB206D"/>
    <w:rsid w:val="00FB3FA4"/>
    <w:rsid w:val="00FC1392"/>
    <w:rsid w:val="00FC2AC7"/>
    <w:rsid w:val="00FC3092"/>
    <w:rsid w:val="00FC5C30"/>
    <w:rsid w:val="00FC7DC9"/>
    <w:rsid w:val="00FD00F8"/>
    <w:rsid w:val="00FD1E55"/>
    <w:rsid w:val="00FD27E3"/>
    <w:rsid w:val="00FD75E8"/>
    <w:rsid w:val="00FD7F61"/>
    <w:rsid w:val="00FE2B04"/>
    <w:rsid w:val="00FE37F6"/>
    <w:rsid w:val="00FE4C26"/>
    <w:rsid w:val="00FF221F"/>
    <w:rsid w:val="00FF642E"/>
    <w:rsid w:val="00FF7040"/>
    <w:rsid w:val="018251E5"/>
    <w:rsid w:val="018A0E65"/>
    <w:rsid w:val="01B85F94"/>
    <w:rsid w:val="01BB7833"/>
    <w:rsid w:val="01CF5BAB"/>
    <w:rsid w:val="02033C75"/>
    <w:rsid w:val="024B52AA"/>
    <w:rsid w:val="02A718E7"/>
    <w:rsid w:val="02AA1CD8"/>
    <w:rsid w:val="02AC7DD9"/>
    <w:rsid w:val="03592BC8"/>
    <w:rsid w:val="03683FB9"/>
    <w:rsid w:val="03771E7F"/>
    <w:rsid w:val="03AE674B"/>
    <w:rsid w:val="03D00994"/>
    <w:rsid w:val="040773FD"/>
    <w:rsid w:val="04077B3F"/>
    <w:rsid w:val="040E27E3"/>
    <w:rsid w:val="041302FA"/>
    <w:rsid w:val="04137DFA"/>
    <w:rsid w:val="042C4A18"/>
    <w:rsid w:val="04751F31"/>
    <w:rsid w:val="04AA7235"/>
    <w:rsid w:val="04B078D7"/>
    <w:rsid w:val="04BF5DB3"/>
    <w:rsid w:val="04D14838"/>
    <w:rsid w:val="05112073"/>
    <w:rsid w:val="05130419"/>
    <w:rsid w:val="05237BC9"/>
    <w:rsid w:val="05243941"/>
    <w:rsid w:val="05364707"/>
    <w:rsid w:val="053C0C8A"/>
    <w:rsid w:val="058A5E9A"/>
    <w:rsid w:val="05C90249"/>
    <w:rsid w:val="05CA41B8"/>
    <w:rsid w:val="05CC2105"/>
    <w:rsid w:val="05CC6159"/>
    <w:rsid w:val="05CE11DA"/>
    <w:rsid w:val="05EA6938"/>
    <w:rsid w:val="062410BE"/>
    <w:rsid w:val="068F419A"/>
    <w:rsid w:val="069B7776"/>
    <w:rsid w:val="06C453DB"/>
    <w:rsid w:val="06DC2725"/>
    <w:rsid w:val="071D7E7D"/>
    <w:rsid w:val="07576E4D"/>
    <w:rsid w:val="07721060"/>
    <w:rsid w:val="07866B35"/>
    <w:rsid w:val="07EA6756"/>
    <w:rsid w:val="07F60706"/>
    <w:rsid w:val="080A7BCF"/>
    <w:rsid w:val="082D7DD6"/>
    <w:rsid w:val="088477CF"/>
    <w:rsid w:val="088A7F5F"/>
    <w:rsid w:val="088C269B"/>
    <w:rsid w:val="08962DA7"/>
    <w:rsid w:val="0897196F"/>
    <w:rsid w:val="09063A89"/>
    <w:rsid w:val="091361A6"/>
    <w:rsid w:val="09353D22"/>
    <w:rsid w:val="09440A55"/>
    <w:rsid w:val="0A856C30"/>
    <w:rsid w:val="0A9232A0"/>
    <w:rsid w:val="0A955016"/>
    <w:rsid w:val="0AA41E19"/>
    <w:rsid w:val="0B4466FB"/>
    <w:rsid w:val="0B9466D2"/>
    <w:rsid w:val="0B957346"/>
    <w:rsid w:val="0BFA508F"/>
    <w:rsid w:val="0C05627A"/>
    <w:rsid w:val="0C0F534B"/>
    <w:rsid w:val="0C3721AC"/>
    <w:rsid w:val="0C632FA1"/>
    <w:rsid w:val="0C6A7279"/>
    <w:rsid w:val="0C8357F5"/>
    <w:rsid w:val="0CE40585"/>
    <w:rsid w:val="0CEC4A1F"/>
    <w:rsid w:val="0CF65D67"/>
    <w:rsid w:val="0D1B115B"/>
    <w:rsid w:val="0D1D3A97"/>
    <w:rsid w:val="0D66680C"/>
    <w:rsid w:val="0DC114CA"/>
    <w:rsid w:val="0DCD726B"/>
    <w:rsid w:val="0DDD6122"/>
    <w:rsid w:val="0E2449E2"/>
    <w:rsid w:val="0E85011D"/>
    <w:rsid w:val="0ECE3A1B"/>
    <w:rsid w:val="0EE84BEE"/>
    <w:rsid w:val="0F4277E5"/>
    <w:rsid w:val="0F601A19"/>
    <w:rsid w:val="0F6A7B79"/>
    <w:rsid w:val="0FAB5527"/>
    <w:rsid w:val="0FBC0EA0"/>
    <w:rsid w:val="0FD3668F"/>
    <w:rsid w:val="0FFF6FB1"/>
    <w:rsid w:val="100D1BA1"/>
    <w:rsid w:val="104A34CD"/>
    <w:rsid w:val="105B1E88"/>
    <w:rsid w:val="107C0CAA"/>
    <w:rsid w:val="1080090C"/>
    <w:rsid w:val="10A03D46"/>
    <w:rsid w:val="10CA1B07"/>
    <w:rsid w:val="10DA49B0"/>
    <w:rsid w:val="10F13D1D"/>
    <w:rsid w:val="114E2001"/>
    <w:rsid w:val="11AE2079"/>
    <w:rsid w:val="11F512F9"/>
    <w:rsid w:val="120A31AF"/>
    <w:rsid w:val="1222401D"/>
    <w:rsid w:val="125C296C"/>
    <w:rsid w:val="12667650"/>
    <w:rsid w:val="12821806"/>
    <w:rsid w:val="12962DFA"/>
    <w:rsid w:val="129E2F84"/>
    <w:rsid w:val="12B55DD1"/>
    <w:rsid w:val="12D85EBA"/>
    <w:rsid w:val="12E50BB3"/>
    <w:rsid w:val="13117BFA"/>
    <w:rsid w:val="133631BD"/>
    <w:rsid w:val="13367661"/>
    <w:rsid w:val="136444C6"/>
    <w:rsid w:val="1399374C"/>
    <w:rsid w:val="13F37D3F"/>
    <w:rsid w:val="14060DE1"/>
    <w:rsid w:val="143B6CFA"/>
    <w:rsid w:val="149503B7"/>
    <w:rsid w:val="14F71945"/>
    <w:rsid w:val="151B10DC"/>
    <w:rsid w:val="15284D87"/>
    <w:rsid w:val="154C6CC8"/>
    <w:rsid w:val="15A802B2"/>
    <w:rsid w:val="15DE4886"/>
    <w:rsid w:val="15E56205"/>
    <w:rsid w:val="1686183E"/>
    <w:rsid w:val="16895638"/>
    <w:rsid w:val="16AB2114"/>
    <w:rsid w:val="16EF3D7E"/>
    <w:rsid w:val="16F07B27"/>
    <w:rsid w:val="170C256E"/>
    <w:rsid w:val="172B1B02"/>
    <w:rsid w:val="17401597"/>
    <w:rsid w:val="1755666E"/>
    <w:rsid w:val="17565E06"/>
    <w:rsid w:val="17946704"/>
    <w:rsid w:val="17A10E21"/>
    <w:rsid w:val="17FD074D"/>
    <w:rsid w:val="180457CB"/>
    <w:rsid w:val="1824217E"/>
    <w:rsid w:val="18CE20EA"/>
    <w:rsid w:val="18D45952"/>
    <w:rsid w:val="19483C4A"/>
    <w:rsid w:val="19A46E95"/>
    <w:rsid w:val="19B2130C"/>
    <w:rsid w:val="19B4308D"/>
    <w:rsid w:val="19B648CB"/>
    <w:rsid w:val="19EF27C5"/>
    <w:rsid w:val="19F9203C"/>
    <w:rsid w:val="1A0C6749"/>
    <w:rsid w:val="1A2F1218"/>
    <w:rsid w:val="1A371E01"/>
    <w:rsid w:val="1A681B11"/>
    <w:rsid w:val="1AD559B1"/>
    <w:rsid w:val="1AF37BE5"/>
    <w:rsid w:val="1AF924EA"/>
    <w:rsid w:val="1B562092"/>
    <w:rsid w:val="1B9E0526"/>
    <w:rsid w:val="1BA62EAA"/>
    <w:rsid w:val="1BB05AD7"/>
    <w:rsid w:val="1C7A17A2"/>
    <w:rsid w:val="1C9F4596"/>
    <w:rsid w:val="1CC24675"/>
    <w:rsid w:val="1CC655B2"/>
    <w:rsid w:val="1CFA0483"/>
    <w:rsid w:val="1D06004E"/>
    <w:rsid w:val="1D913059"/>
    <w:rsid w:val="1DB606EB"/>
    <w:rsid w:val="1DBE0102"/>
    <w:rsid w:val="1E360515"/>
    <w:rsid w:val="1EA41923"/>
    <w:rsid w:val="1EB3600A"/>
    <w:rsid w:val="1EB63404"/>
    <w:rsid w:val="1F364180"/>
    <w:rsid w:val="1F386DDF"/>
    <w:rsid w:val="1F43795A"/>
    <w:rsid w:val="1F446C62"/>
    <w:rsid w:val="1F4629DA"/>
    <w:rsid w:val="1F896439"/>
    <w:rsid w:val="1FEB08E1"/>
    <w:rsid w:val="20803CC9"/>
    <w:rsid w:val="2085324E"/>
    <w:rsid w:val="2090207E"/>
    <w:rsid w:val="20AF0BE5"/>
    <w:rsid w:val="20C07A86"/>
    <w:rsid w:val="20FB53B4"/>
    <w:rsid w:val="213F608F"/>
    <w:rsid w:val="2178187B"/>
    <w:rsid w:val="21A5163A"/>
    <w:rsid w:val="21F52495"/>
    <w:rsid w:val="22235F69"/>
    <w:rsid w:val="2234093A"/>
    <w:rsid w:val="22A420D9"/>
    <w:rsid w:val="22A55C69"/>
    <w:rsid w:val="22C03E1E"/>
    <w:rsid w:val="22C34341"/>
    <w:rsid w:val="22D93B65"/>
    <w:rsid w:val="2300529F"/>
    <w:rsid w:val="233170E7"/>
    <w:rsid w:val="23671171"/>
    <w:rsid w:val="23CD1181"/>
    <w:rsid w:val="23FB13CA"/>
    <w:rsid w:val="24134E54"/>
    <w:rsid w:val="24733F78"/>
    <w:rsid w:val="24D75C6F"/>
    <w:rsid w:val="24F5167D"/>
    <w:rsid w:val="255D6CCF"/>
    <w:rsid w:val="255E0351"/>
    <w:rsid w:val="257B73BC"/>
    <w:rsid w:val="25AB3597"/>
    <w:rsid w:val="2681332B"/>
    <w:rsid w:val="268A43F2"/>
    <w:rsid w:val="26EA6341"/>
    <w:rsid w:val="27064EA2"/>
    <w:rsid w:val="271A658B"/>
    <w:rsid w:val="271D48AB"/>
    <w:rsid w:val="27816FE9"/>
    <w:rsid w:val="27BF18DA"/>
    <w:rsid w:val="280E42B1"/>
    <w:rsid w:val="284948ED"/>
    <w:rsid w:val="288E055E"/>
    <w:rsid w:val="28ED3EC6"/>
    <w:rsid w:val="28F07FAC"/>
    <w:rsid w:val="290C6A42"/>
    <w:rsid w:val="292F024E"/>
    <w:rsid w:val="294E127D"/>
    <w:rsid w:val="296E7199"/>
    <w:rsid w:val="29A26D6E"/>
    <w:rsid w:val="29C33815"/>
    <w:rsid w:val="29C40B22"/>
    <w:rsid w:val="29C94662"/>
    <w:rsid w:val="29CE1F49"/>
    <w:rsid w:val="29FB0865"/>
    <w:rsid w:val="2A11566E"/>
    <w:rsid w:val="2A252D75"/>
    <w:rsid w:val="2A73664D"/>
    <w:rsid w:val="2ADA491A"/>
    <w:rsid w:val="2B50742B"/>
    <w:rsid w:val="2B857D1E"/>
    <w:rsid w:val="2B8732CA"/>
    <w:rsid w:val="2BA4551D"/>
    <w:rsid w:val="2BA47406"/>
    <w:rsid w:val="2BB053BA"/>
    <w:rsid w:val="2BDD0AA7"/>
    <w:rsid w:val="2C131E96"/>
    <w:rsid w:val="2C15764B"/>
    <w:rsid w:val="2C837162"/>
    <w:rsid w:val="2CCF5A34"/>
    <w:rsid w:val="2CD237FB"/>
    <w:rsid w:val="2CF0205A"/>
    <w:rsid w:val="2CF972DD"/>
    <w:rsid w:val="2D085703"/>
    <w:rsid w:val="2D0B138B"/>
    <w:rsid w:val="2D2C5EEE"/>
    <w:rsid w:val="2D2F71A3"/>
    <w:rsid w:val="2D957504"/>
    <w:rsid w:val="2D9C740B"/>
    <w:rsid w:val="2DA3549B"/>
    <w:rsid w:val="2E3F396E"/>
    <w:rsid w:val="2E4616D0"/>
    <w:rsid w:val="2E9C0D9A"/>
    <w:rsid w:val="2EA43279"/>
    <w:rsid w:val="2EAE0778"/>
    <w:rsid w:val="2ECE6548"/>
    <w:rsid w:val="2EE030E8"/>
    <w:rsid w:val="2F271EAF"/>
    <w:rsid w:val="2F370591"/>
    <w:rsid w:val="2FBB4237"/>
    <w:rsid w:val="2FED3877"/>
    <w:rsid w:val="30155ECB"/>
    <w:rsid w:val="302A018B"/>
    <w:rsid w:val="30352DDE"/>
    <w:rsid w:val="30B559D7"/>
    <w:rsid w:val="310E4E26"/>
    <w:rsid w:val="313A72EF"/>
    <w:rsid w:val="3169514B"/>
    <w:rsid w:val="31B57E87"/>
    <w:rsid w:val="31B9703B"/>
    <w:rsid w:val="322070BA"/>
    <w:rsid w:val="3240775C"/>
    <w:rsid w:val="324E78D4"/>
    <w:rsid w:val="32533649"/>
    <w:rsid w:val="326E5060"/>
    <w:rsid w:val="328351A2"/>
    <w:rsid w:val="3284589B"/>
    <w:rsid w:val="32B0043D"/>
    <w:rsid w:val="32E6066C"/>
    <w:rsid w:val="32EC51EE"/>
    <w:rsid w:val="332570A4"/>
    <w:rsid w:val="33360206"/>
    <w:rsid w:val="33630F70"/>
    <w:rsid w:val="34273854"/>
    <w:rsid w:val="34394463"/>
    <w:rsid w:val="34474DD2"/>
    <w:rsid w:val="34884EE6"/>
    <w:rsid w:val="34912AA8"/>
    <w:rsid w:val="34A43FD3"/>
    <w:rsid w:val="35156C7E"/>
    <w:rsid w:val="35250753"/>
    <w:rsid w:val="35EF9727"/>
    <w:rsid w:val="35F951EE"/>
    <w:rsid w:val="36332CB6"/>
    <w:rsid w:val="366C0B20"/>
    <w:rsid w:val="36840AA1"/>
    <w:rsid w:val="37040B1B"/>
    <w:rsid w:val="3715045B"/>
    <w:rsid w:val="372E4027"/>
    <w:rsid w:val="375A306E"/>
    <w:rsid w:val="376C4B50"/>
    <w:rsid w:val="37A44536"/>
    <w:rsid w:val="37C66F9D"/>
    <w:rsid w:val="37DD15AA"/>
    <w:rsid w:val="37E403E8"/>
    <w:rsid w:val="381D77D5"/>
    <w:rsid w:val="382471D8"/>
    <w:rsid w:val="382B1B10"/>
    <w:rsid w:val="384A37C5"/>
    <w:rsid w:val="38784B5C"/>
    <w:rsid w:val="38D013AA"/>
    <w:rsid w:val="38F82975"/>
    <w:rsid w:val="39112E4E"/>
    <w:rsid w:val="399E1130"/>
    <w:rsid w:val="399E1490"/>
    <w:rsid w:val="39A764DB"/>
    <w:rsid w:val="39AD3929"/>
    <w:rsid w:val="39B15203"/>
    <w:rsid w:val="39C7639F"/>
    <w:rsid w:val="39E15EC3"/>
    <w:rsid w:val="39FF7EFD"/>
    <w:rsid w:val="3A086DB2"/>
    <w:rsid w:val="3A1514CF"/>
    <w:rsid w:val="3A184B1B"/>
    <w:rsid w:val="3A202A16"/>
    <w:rsid w:val="3A274E09"/>
    <w:rsid w:val="3A433CAA"/>
    <w:rsid w:val="3A635F48"/>
    <w:rsid w:val="3A694CA0"/>
    <w:rsid w:val="3A6A3ADD"/>
    <w:rsid w:val="3A90384C"/>
    <w:rsid w:val="3A9A3BD3"/>
    <w:rsid w:val="3AC3370B"/>
    <w:rsid w:val="3B0C28D2"/>
    <w:rsid w:val="3B36794F"/>
    <w:rsid w:val="3B585B17"/>
    <w:rsid w:val="3BB52F69"/>
    <w:rsid w:val="3BB80364"/>
    <w:rsid w:val="3BDA477E"/>
    <w:rsid w:val="3C1C0FD0"/>
    <w:rsid w:val="3C597D99"/>
    <w:rsid w:val="3C640FC6"/>
    <w:rsid w:val="3C747758"/>
    <w:rsid w:val="3C9468E9"/>
    <w:rsid w:val="3CAF1767"/>
    <w:rsid w:val="3CDF3C8C"/>
    <w:rsid w:val="3D23742E"/>
    <w:rsid w:val="3D506BBC"/>
    <w:rsid w:val="3D72372C"/>
    <w:rsid w:val="3D74083B"/>
    <w:rsid w:val="3D9F17DB"/>
    <w:rsid w:val="3DE14173"/>
    <w:rsid w:val="3DE50077"/>
    <w:rsid w:val="3DF87142"/>
    <w:rsid w:val="3E076588"/>
    <w:rsid w:val="3E575B06"/>
    <w:rsid w:val="3E5A00F1"/>
    <w:rsid w:val="3E5C591E"/>
    <w:rsid w:val="3E5F6204"/>
    <w:rsid w:val="3E657C0C"/>
    <w:rsid w:val="3F7F2536"/>
    <w:rsid w:val="3FA74D45"/>
    <w:rsid w:val="3FDF2C02"/>
    <w:rsid w:val="3FFB689E"/>
    <w:rsid w:val="403D40B9"/>
    <w:rsid w:val="404C68FB"/>
    <w:rsid w:val="409B4D6F"/>
    <w:rsid w:val="40E06496"/>
    <w:rsid w:val="40E44B1C"/>
    <w:rsid w:val="40F858ED"/>
    <w:rsid w:val="4105404B"/>
    <w:rsid w:val="41135982"/>
    <w:rsid w:val="4117639C"/>
    <w:rsid w:val="415E0CEF"/>
    <w:rsid w:val="416845DA"/>
    <w:rsid w:val="41C66390"/>
    <w:rsid w:val="42036B51"/>
    <w:rsid w:val="420C31B7"/>
    <w:rsid w:val="421D7172"/>
    <w:rsid w:val="425537E8"/>
    <w:rsid w:val="42613503"/>
    <w:rsid w:val="428B4A24"/>
    <w:rsid w:val="42CD54A1"/>
    <w:rsid w:val="42DE0735"/>
    <w:rsid w:val="431F18E8"/>
    <w:rsid w:val="43212602"/>
    <w:rsid w:val="434A21E9"/>
    <w:rsid w:val="43813731"/>
    <w:rsid w:val="43BE6733"/>
    <w:rsid w:val="43C82C5B"/>
    <w:rsid w:val="441F233F"/>
    <w:rsid w:val="445D108A"/>
    <w:rsid w:val="4497145E"/>
    <w:rsid w:val="44BC2C73"/>
    <w:rsid w:val="44FA4D0A"/>
    <w:rsid w:val="45091C30"/>
    <w:rsid w:val="451C7BB5"/>
    <w:rsid w:val="45386B25"/>
    <w:rsid w:val="455410FD"/>
    <w:rsid w:val="45712B72"/>
    <w:rsid w:val="458C225A"/>
    <w:rsid w:val="45B6227D"/>
    <w:rsid w:val="45C06792"/>
    <w:rsid w:val="46004DE1"/>
    <w:rsid w:val="46386C71"/>
    <w:rsid w:val="464078D3"/>
    <w:rsid w:val="46736A03"/>
    <w:rsid w:val="46D46419"/>
    <w:rsid w:val="46E2098A"/>
    <w:rsid w:val="472C7707"/>
    <w:rsid w:val="478B5BE9"/>
    <w:rsid w:val="478C0312"/>
    <w:rsid w:val="47A65E5C"/>
    <w:rsid w:val="47B650BB"/>
    <w:rsid w:val="47DF2D8B"/>
    <w:rsid w:val="47EA09AD"/>
    <w:rsid w:val="47EA7AF7"/>
    <w:rsid w:val="47EF6D62"/>
    <w:rsid w:val="48044717"/>
    <w:rsid w:val="482F19AD"/>
    <w:rsid w:val="484713ED"/>
    <w:rsid w:val="485843EA"/>
    <w:rsid w:val="486C1132"/>
    <w:rsid w:val="489D2DBB"/>
    <w:rsid w:val="489E2BB7"/>
    <w:rsid w:val="48A93AD3"/>
    <w:rsid w:val="48A94193"/>
    <w:rsid w:val="48E12F0B"/>
    <w:rsid w:val="48E22EC4"/>
    <w:rsid w:val="48EE3DCA"/>
    <w:rsid w:val="48F037D1"/>
    <w:rsid w:val="490C6426"/>
    <w:rsid w:val="49220FB1"/>
    <w:rsid w:val="4981364E"/>
    <w:rsid w:val="498B4FC2"/>
    <w:rsid w:val="49A47090"/>
    <w:rsid w:val="49AA7893"/>
    <w:rsid w:val="49ED7CF1"/>
    <w:rsid w:val="4A050C18"/>
    <w:rsid w:val="4A537D07"/>
    <w:rsid w:val="4A565917"/>
    <w:rsid w:val="4A6E2C61"/>
    <w:rsid w:val="4A7D3209"/>
    <w:rsid w:val="4A835FE1"/>
    <w:rsid w:val="4AD2744D"/>
    <w:rsid w:val="4AD45E0E"/>
    <w:rsid w:val="4B086827"/>
    <w:rsid w:val="4B7F4A5A"/>
    <w:rsid w:val="4B906029"/>
    <w:rsid w:val="4BC11DB3"/>
    <w:rsid w:val="4C0D1AB5"/>
    <w:rsid w:val="4CAD30F7"/>
    <w:rsid w:val="4CCE1547"/>
    <w:rsid w:val="4E632A09"/>
    <w:rsid w:val="4E9E6450"/>
    <w:rsid w:val="4F22401A"/>
    <w:rsid w:val="4F75176B"/>
    <w:rsid w:val="4FA26F09"/>
    <w:rsid w:val="4FB51733"/>
    <w:rsid w:val="4FCE0C79"/>
    <w:rsid w:val="4FD96283"/>
    <w:rsid w:val="4FDA5DB2"/>
    <w:rsid w:val="4FF74E03"/>
    <w:rsid w:val="504623B0"/>
    <w:rsid w:val="504A0EAA"/>
    <w:rsid w:val="5061544F"/>
    <w:rsid w:val="506323D7"/>
    <w:rsid w:val="506B19F1"/>
    <w:rsid w:val="5086682B"/>
    <w:rsid w:val="511B0214"/>
    <w:rsid w:val="511F3338"/>
    <w:rsid w:val="51273B6A"/>
    <w:rsid w:val="51413C9A"/>
    <w:rsid w:val="515E50B1"/>
    <w:rsid w:val="51A11361"/>
    <w:rsid w:val="51B26E40"/>
    <w:rsid w:val="51BC5543"/>
    <w:rsid w:val="51F443EE"/>
    <w:rsid w:val="5257404F"/>
    <w:rsid w:val="52830A75"/>
    <w:rsid w:val="5314011E"/>
    <w:rsid w:val="533423CE"/>
    <w:rsid w:val="533D6114"/>
    <w:rsid w:val="537004B9"/>
    <w:rsid w:val="538C173B"/>
    <w:rsid w:val="53947D10"/>
    <w:rsid w:val="53A9430C"/>
    <w:rsid w:val="53DD0BA2"/>
    <w:rsid w:val="542D0983"/>
    <w:rsid w:val="54662BFB"/>
    <w:rsid w:val="5474421F"/>
    <w:rsid w:val="549C41C1"/>
    <w:rsid w:val="54C47921"/>
    <w:rsid w:val="55030B9B"/>
    <w:rsid w:val="55226F39"/>
    <w:rsid w:val="554916E7"/>
    <w:rsid w:val="555B3FA7"/>
    <w:rsid w:val="55B1747F"/>
    <w:rsid w:val="55D50038"/>
    <w:rsid w:val="55FE5024"/>
    <w:rsid w:val="56192C0F"/>
    <w:rsid w:val="567F39FF"/>
    <w:rsid w:val="56E147BB"/>
    <w:rsid w:val="56ED03A3"/>
    <w:rsid w:val="56FB36B8"/>
    <w:rsid w:val="56FD5545"/>
    <w:rsid w:val="56FF545E"/>
    <w:rsid w:val="570C6016"/>
    <w:rsid w:val="571267D0"/>
    <w:rsid w:val="572560D4"/>
    <w:rsid w:val="57327DBD"/>
    <w:rsid w:val="5794675D"/>
    <w:rsid w:val="57961A49"/>
    <w:rsid w:val="57C65B06"/>
    <w:rsid w:val="582B0F9D"/>
    <w:rsid w:val="584F4EF2"/>
    <w:rsid w:val="585E3DA9"/>
    <w:rsid w:val="58B57151"/>
    <w:rsid w:val="58BA17FA"/>
    <w:rsid w:val="58EB7B01"/>
    <w:rsid w:val="58FF53CC"/>
    <w:rsid w:val="59144702"/>
    <w:rsid w:val="59627AF9"/>
    <w:rsid w:val="598F3A95"/>
    <w:rsid w:val="5A405C9C"/>
    <w:rsid w:val="5A434A7B"/>
    <w:rsid w:val="5A470DD9"/>
    <w:rsid w:val="5A513313"/>
    <w:rsid w:val="5A7F7BE6"/>
    <w:rsid w:val="5A8E07B6"/>
    <w:rsid w:val="5A93401E"/>
    <w:rsid w:val="5ABF3D56"/>
    <w:rsid w:val="5ACE532A"/>
    <w:rsid w:val="5AE14D89"/>
    <w:rsid w:val="5B4C6452"/>
    <w:rsid w:val="5B61411C"/>
    <w:rsid w:val="5BCD4DC1"/>
    <w:rsid w:val="5BE10DB9"/>
    <w:rsid w:val="5BF907F8"/>
    <w:rsid w:val="5C084598"/>
    <w:rsid w:val="5C6E682C"/>
    <w:rsid w:val="5C89123F"/>
    <w:rsid w:val="5CB90C3D"/>
    <w:rsid w:val="5CE440F2"/>
    <w:rsid w:val="5D0E2082"/>
    <w:rsid w:val="5D436E81"/>
    <w:rsid w:val="5D900CE9"/>
    <w:rsid w:val="5DC73FF3"/>
    <w:rsid w:val="5E2954FD"/>
    <w:rsid w:val="5E3C677A"/>
    <w:rsid w:val="5E624F68"/>
    <w:rsid w:val="5EDF7832"/>
    <w:rsid w:val="5F0C536C"/>
    <w:rsid w:val="5F2300CB"/>
    <w:rsid w:val="5F3E793F"/>
    <w:rsid w:val="5F4A141D"/>
    <w:rsid w:val="5F8D687B"/>
    <w:rsid w:val="5FDE1F3B"/>
    <w:rsid w:val="5FE5356E"/>
    <w:rsid w:val="60337994"/>
    <w:rsid w:val="605424A1"/>
    <w:rsid w:val="60564992"/>
    <w:rsid w:val="6062071A"/>
    <w:rsid w:val="60D237C0"/>
    <w:rsid w:val="612E1517"/>
    <w:rsid w:val="61812E22"/>
    <w:rsid w:val="61A1613C"/>
    <w:rsid w:val="61A60ADB"/>
    <w:rsid w:val="61BA6334"/>
    <w:rsid w:val="62574B27"/>
    <w:rsid w:val="62942E43"/>
    <w:rsid w:val="62951FA5"/>
    <w:rsid w:val="62A508E7"/>
    <w:rsid w:val="62D04BBB"/>
    <w:rsid w:val="62DF26A5"/>
    <w:rsid w:val="62F6339C"/>
    <w:rsid w:val="62F87114"/>
    <w:rsid w:val="630E60A0"/>
    <w:rsid w:val="63141A74"/>
    <w:rsid w:val="631E151C"/>
    <w:rsid w:val="63236424"/>
    <w:rsid w:val="63252C15"/>
    <w:rsid w:val="63945134"/>
    <w:rsid w:val="63B179AE"/>
    <w:rsid w:val="63E40EF7"/>
    <w:rsid w:val="63E86441"/>
    <w:rsid w:val="63EF2296"/>
    <w:rsid w:val="63F024E1"/>
    <w:rsid w:val="64175E49"/>
    <w:rsid w:val="64243F45"/>
    <w:rsid w:val="645A5BAC"/>
    <w:rsid w:val="645B0D7F"/>
    <w:rsid w:val="6461684C"/>
    <w:rsid w:val="649C041D"/>
    <w:rsid w:val="64A77044"/>
    <w:rsid w:val="64D65525"/>
    <w:rsid w:val="650E6577"/>
    <w:rsid w:val="652F533E"/>
    <w:rsid w:val="65D1182A"/>
    <w:rsid w:val="65DB6174"/>
    <w:rsid w:val="65E63B9C"/>
    <w:rsid w:val="65EA7C3D"/>
    <w:rsid w:val="662D4294"/>
    <w:rsid w:val="664C4BE1"/>
    <w:rsid w:val="66A55DB0"/>
    <w:rsid w:val="66DF729D"/>
    <w:rsid w:val="670E1F27"/>
    <w:rsid w:val="672D56C8"/>
    <w:rsid w:val="67606B91"/>
    <w:rsid w:val="67CD422D"/>
    <w:rsid w:val="68227340"/>
    <w:rsid w:val="682A7526"/>
    <w:rsid w:val="685F3791"/>
    <w:rsid w:val="686A4679"/>
    <w:rsid w:val="68774F7F"/>
    <w:rsid w:val="68917B78"/>
    <w:rsid w:val="68B910F3"/>
    <w:rsid w:val="68BC5088"/>
    <w:rsid w:val="68D1422E"/>
    <w:rsid w:val="68EA74FF"/>
    <w:rsid w:val="692567DB"/>
    <w:rsid w:val="693D1DF9"/>
    <w:rsid w:val="69611AE2"/>
    <w:rsid w:val="69703D4D"/>
    <w:rsid w:val="6979088C"/>
    <w:rsid w:val="69A343E0"/>
    <w:rsid w:val="69F148BD"/>
    <w:rsid w:val="69F43ACA"/>
    <w:rsid w:val="69F85C4B"/>
    <w:rsid w:val="69F86206"/>
    <w:rsid w:val="6A0E546F"/>
    <w:rsid w:val="6A3D1A6B"/>
    <w:rsid w:val="6A5F4DC6"/>
    <w:rsid w:val="6A6C025F"/>
    <w:rsid w:val="6AA17D67"/>
    <w:rsid w:val="6ACB7804"/>
    <w:rsid w:val="6AE7088E"/>
    <w:rsid w:val="6AFB425D"/>
    <w:rsid w:val="6B064398"/>
    <w:rsid w:val="6B350EFA"/>
    <w:rsid w:val="6B371A36"/>
    <w:rsid w:val="6B43383E"/>
    <w:rsid w:val="6B785296"/>
    <w:rsid w:val="6BA111F1"/>
    <w:rsid w:val="6BF7488E"/>
    <w:rsid w:val="6BFD3F9E"/>
    <w:rsid w:val="6BFF7E7B"/>
    <w:rsid w:val="6C235AAC"/>
    <w:rsid w:val="6C3A079D"/>
    <w:rsid w:val="6CA9147F"/>
    <w:rsid w:val="6D1976A8"/>
    <w:rsid w:val="6D351A13"/>
    <w:rsid w:val="6D77332B"/>
    <w:rsid w:val="6DEF45ED"/>
    <w:rsid w:val="6DF80910"/>
    <w:rsid w:val="6E005A16"/>
    <w:rsid w:val="6E063532"/>
    <w:rsid w:val="6E1313C3"/>
    <w:rsid w:val="6E322A32"/>
    <w:rsid w:val="6E32760E"/>
    <w:rsid w:val="6E4640B1"/>
    <w:rsid w:val="6E7177A0"/>
    <w:rsid w:val="6EA52F6B"/>
    <w:rsid w:val="6EA8784D"/>
    <w:rsid w:val="6EA91C0A"/>
    <w:rsid w:val="6ED2222D"/>
    <w:rsid w:val="6ED92F58"/>
    <w:rsid w:val="6EFE5FD4"/>
    <w:rsid w:val="6F174DC6"/>
    <w:rsid w:val="6F3041AB"/>
    <w:rsid w:val="6F470D78"/>
    <w:rsid w:val="6F47188A"/>
    <w:rsid w:val="6F685161"/>
    <w:rsid w:val="6FBE7937"/>
    <w:rsid w:val="6FEF3CBF"/>
    <w:rsid w:val="6FF25BC3"/>
    <w:rsid w:val="70046E61"/>
    <w:rsid w:val="70313C65"/>
    <w:rsid w:val="70681E7A"/>
    <w:rsid w:val="70814276"/>
    <w:rsid w:val="70A66401"/>
    <w:rsid w:val="70C63D0E"/>
    <w:rsid w:val="70D171F6"/>
    <w:rsid w:val="70FF5AE8"/>
    <w:rsid w:val="7147357F"/>
    <w:rsid w:val="719F7859"/>
    <w:rsid w:val="723A2577"/>
    <w:rsid w:val="732D564A"/>
    <w:rsid w:val="73B450CC"/>
    <w:rsid w:val="73D019E7"/>
    <w:rsid w:val="73DC038C"/>
    <w:rsid w:val="74244F87"/>
    <w:rsid w:val="742D0BE7"/>
    <w:rsid w:val="745006F6"/>
    <w:rsid w:val="74620891"/>
    <w:rsid w:val="747653B4"/>
    <w:rsid w:val="74C83D9C"/>
    <w:rsid w:val="74E963E9"/>
    <w:rsid w:val="752E7E31"/>
    <w:rsid w:val="75610BB3"/>
    <w:rsid w:val="75FD024C"/>
    <w:rsid w:val="761E27DC"/>
    <w:rsid w:val="763A01A7"/>
    <w:rsid w:val="767202A8"/>
    <w:rsid w:val="76726F26"/>
    <w:rsid w:val="76884DEE"/>
    <w:rsid w:val="76D8308D"/>
    <w:rsid w:val="771306F4"/>
    <w:rsid w:val="77471942"/>
    <w:rsid w:val="775D17E4"/>
    <w:rsid w:val="778E36D8"/>
    <w:rsid w:val="77C14941"/>
    <w:rsid w:val="77FB4440"/>
    <w:rsid w:val="780D44B3"/>
    <w:rsid w:val="781A7E20"/>
    <w:rsid w:val="785A0336"/>
    <w:rsid w:val="786738D2"/>
    <w:rsid w:val="7883171E"/>
    <w:rsid w:val="78BB14FE"/>
    <w:rsid w:val="78E0091E"/>
    <w:rsid w:val="78F0550C"/>
    <w:rsid w:val="79086A45"/>
    <w:rsid w:val="791D799B"/>
    <w:rsid w:val="795409C4"/>
    <w:rsid w:val="79E1494E"/>
    <w:rsid w:val="79F857F4"/>
    <w:rsid w:val="7A03606C"/>
    <w:rsid w:val="7A9718BD"/>
    <w:rsid w:val="7A9B7982"/>
    <w:rsid w:val="7A9E45ED"/>
    <w:rsid w:val="7AC676A0"/>
    <w:rsid w:val="7AE224E8"/>
    <w:rsid w:val="7AF679A6"/>
    <w:rsid w:val="7B024B7C"/>
    <w:rsid w:val="7B034450"/>
    <w:rsid w:val="7B1E177E"/>
    <w:rsid w:val="7BB54142"/>
    <w:rsid w:val="7BD273AB"/>
    <w:rsid w:val="7BE8368D"/>
    <w:rsid w:val="7BF5648F"/>
    <w:rsid w:val="7C0B55D5"/>
    <w:rsid w:val="7C1F350C"/>
    <w:rsid w:val="7C677BCE"/>
    <w:rsid w:val="7CBD0477"/>
    <w:rsid w:val="7CDE3AD5"/>
    <w:rsid w:val="7CE34539"/>
    <w:rsid w:val="7D172435"/>
    <w:rsid w:val="7D485662"/>
    <w:rsid w:val="7D4A0A5C"/>
    <w:rsid w:val="7D9E9C42"/>
    <w:rsid w:val="7E4E5BDF"/>
    <w:rsid w:val="7E5E423B"/>
    <w:rsid w:val="7E77098B"/>
    <w:rsid w:val="7E7B04F7"/>
    <w:rsid w:val="7E833E54"/>
    <w:rsid w:val="7ECA5D9A"/>
    <w:rsid w:val="7EDC12C7"/>
    <w:rsid w:val="7F2C4836"/>
    <w:rsid w:val="7F447400"/>
    <w:rsid w:val="7F5A6729"/>
    <w:rsid w:val="7FB47BB6"/>
    <w:rsid w:val="7FD47416"/>
    <w:rsid w:val="9CDB0619"/>
    <w:rsid w:val="B7FF88D1"/>
    <w:rsid w:val="B9DB6A84"/>
    <w:rsid w:val="BFFBD0A4"/>
    <w:rsid w:val="E6F7E05E"/>
    <w:rsid w:val="F7FFB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1"/>
      <w:szCs w:val="22"/>
      <w:lang w:val="en-US" w:eastAsia="zh-CN" w:bidi="ar-SA"/>
    </w:rPr>
  </w:style>
  <w:style w:type="paragraph" w:styleId="2">
    <w:name w:val="heading 1"/>
    <w:basedOn w:val="1"/>
    <w:next w:val="1"/>
    <w:link w:val="29"/>
    <w:qFormat/>
    <w:uiPriority w:val="0"/>
    <w:pPr>
      <w:keepNext/>
      <w:keepLines/>
      <w:spacing w:line="578" w:lineRule="auto"/>
      <w:outlineLvl w:val="0"/>
    </w:pPr>
    <w:rPr>
      <w:rFonts w:eastAsia="黑体"/>
      <w:bCs/>
      <w:kern w:val="44"/>
      <w:sz w:val="32"/>
      <w:szCs w:val="44"/>
    </w:rPr>
  </w:style>
  <w:style w:type="paragraph" w:styleId="3">
    <w:name w:val="heading 2"/>
    <w:basedOn w:val="1"/>
    <w:next w:val="1"/>
    <w:link w:val="36"/>
    <w:qFormat/>
    <w:uiPriority w:val="0"/>
    <w:pPr>
      <w:keepNext/>
      <w:keepLines/>
      <w:suppressAutoHyphen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44"/>
    <w:qFormat/>
    <w:uiPriority w:val="0"/>
    <w:pPr>
      <w:jc w:val="left"/>
    </w:pPr>
  </w:style>
  <w:style w:type="paragraph" w:styleId="7">
    <w:name w:val="Body Text"/>
    <w:basedOn w:val="1"/>
    <w:link w:val="32"/>
    <w:qFormat/>
    <w:uiPriority w:val="1"/>
    <w:pPr>
      <w:autoSpaceDE w:val="0"/>
      <w:autoSpaceDN w:val="0"/>
      <w:adjustRightInd w:val="0"/>
      <w:jc w:val="left"/>
    </w:pPr>
    <w:rPr>
      <w:rFonts w:ascii="仿宋" w:hAnsi="Times New Roman" w:cs="仿宋"/>
      <w:kern w:val="0"/>
      <w:sz w:val="32"/>
      <w:szCs w:val="32"/>
    </w:rPr>
  </w:style>
  <w:style w:type="paragraph" w:styleId="8">
    <w:name w:val="Body Text Indent"/>
    <w:basedOn w:val="1"/>
    <w:next w:val="1"/>
    <w:qFormat/>
    <w:uiPriority w:val="0"/>
    <w:pPr>
      <w:ind w:firstLine="480" w:firstLineChars="200"/>
    </w:pPr>
    <w:rPr>
      <w:rFonts w:ascii="Calibri" w:hAnsi="Calibri" w:eastAsia="宋体" w:cs="Times New Roman"/>
      <w:szCs w:val="24"/>
    </w:rPr>
  </w:style>
  <w:style w:type="paragraph" w:styleId="9">
    <w:name w:val="Date"/>
    <w:basedOn w:val="1"/>
    <w:next w:val="1"/>
    <w:link w:val="34"/>
    <w:unhideWhenUsed/>
    <w:qFormat/>
    <w:uiPriority w:val="99"/>
    <w:pPr>
      <w:ind w:left="100" w:leftChars="2500"/>
    </w:pPr>
  </w:style>
  <w:style w:type="paragraph" w:styleId="10">
    <w:name w:val="Balloon Text"/>
    <w:basedOn w:val="1"/>
    <w:link w:val="33"/>
    <w:unhideWhenUsed/>
    <w:qFormat/>
    <w:uiPriority w:val="0"/>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6"/>
    <w:next w:val="6"/>
    <w:link w:val="45"/>
    <w:semiHidden/>
    <w:unhideWhenUsed/>
    <w:qFormat/>
    <w:uiPriority w:val="99"/>
    <w:rPr>
      <w:b/>
      <w:bCs/>
    </w:rPr>
  </w:style>
  <w:style w:type="paragraph" w:styleId="17">
    <w:name w:val="Body Text First Indent"/>
    <w:basedOn w:val="7"/>
    <w:qFormat/>
    <w:uiPriority w:val="0"/>
    <w:pPr>
      <w:ind w:firstLine="200" w:firstLineChars="200"/>
    </w:pPr>
    <w:rPr>
      <w:rFonts w:ascii="Calibri" w:hAnsi="Calibri" w:cs="Calibri"/>
    </w:rPr>
  </w:style>
  <w:style w:type="table" w:styleId="19">
    <w:name w:val="Table Grid"/>
    <w:basedOn w:val="1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style>
  <w:style w:type="character" w:styleId="23">
    <w:name w:val="Emphasis"/>
    <w:basedOn w:val="20"/>
    <w:qFormat/>
    <w:uiPriority w:val="20"/>
    <w:rPr>
      <w:i/>
      <w:iCs/>
    </w:rPr>
  </w:style>
  <w:style w:type="character" w:styleId="24">
    <w:name w:val="Hyperlink"/>
    <w:basedOn w:val="20"/>
    <w:unhideWhenUsed/>
    <w:qFormat/>
    <w:uiPriority w:val="99"/>
    <w:rPr>
      <w:color w:val="0000FF"/>
      <w:u w:val="single"/>
    </w:rPr>
  </w:style>
  <w:style w:type="character" w:styleId="25">
    <w:name w:val="annotation reference"/>
    <w:basedOn w:val="20"/>
    <w:qFormat/>
    <w:uiPriority w:val="0"/>
    <w:rPr>
      <w:sz w:val="21"/>
      <w:szCs w:val="21"/>
    </w:rPr>
  </w:style>
  <w:style w:type="character" w:customStyle="1" w:styleId="26">
    <w:name w:val="标题 3 字符"/>
    <w:basedOn w:val="20"/>
    <w:link w:val="4"/>
    <w:semiHidden/>
    <w:qFormat/>
    <w:uiPriority w:val="9"/>
    <w:rPr>
      <w:rFonts w:asciiTheme="minorHAnsi" w:hAnsiTheme="minorHAnsi" w:eastAsiaTheme="minorEastAsia" w:cstheme="minorBidi"/>
      <w:b/>
      <w:bCs/>
      <w:kern w:val="2"/>
      <w:sz w:val="32"/>
      <w:szCs w:val="32"/>
    </w:rPr>
  </w:style>
  <w:style w:type="character" w:customStyle="1" w:styleId="27">
    <w:name w:val="页眉 字符"/>
    <w:basedOn w:val="20"/>
    <w:link w:val="12"/>
    <w:qFormat/>
    <w:uiPriority w:val="0"/>
    <w:rPr>
      <w:sz w:val="18"/>
      <w:szCs w:val="18"/>
    </w:rPr>
  </w:style>
  <w:style w:type="character" w:customStyle="1" w:styleId="28">
    <w:name w:val="页脚 字符"/>
    <w:basedOn w:val="20"/>
    <w:link w:val="11"/>
    <w:qFormat/>
    <w:uiPriority w:val="99"/>
    <w:rPr>
      <w:sz w:val="18"/>
      <w:szCs w:val="18"/>
    </w:rPr>
  </w:style>
  <w:style w:type="character" w:customStyle="1" w:styleId="29">
    <w:name w:val="标题 1 字符"/>
    <w:basedOn w:val="20"/>
    <w:link w:val="2"/>
    <w:qFormat/>
    <w:uiPriority w:val="0"/>
    <w:rPr>
      <w:rFonts w:eastAsia="黑体"/>
      <w:bCs/>
      <w:kern w:val="44"/>
      <w:sz w:val="32"/>
      <w:szCs w:val="44"/>
    </w:rPr>
  </w:style>
  <w:style w:type="paragraph" w:customStyle="1" w:styleId="30">
    <w:name w:val="列出段落1"/>
    <w:basedOn w:val="1"/>
    <w:qFormat/>
    <w:uiPriority w:val="1"/>
    <w:pPr>
      <w:ind w:firstLine="420" w:firstLineChars="200"/>
    </w:pPr>
  </w:style>
  <w:style w:type="paragraph" w:customStyle="1" w:styleId="3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2">
    <w:name w:val="正文文本 字符"/>
    <w:basedOn w:val="20"/>
    <w:link w:val="7"/>
    <w:qFormat/>
    <w:uiPriority w:val="1"/>
    <w:rPr>
      <w:rFonts w:ascii="仿宋" w:hAnsi="Times New Roman" w:eastAsia="仿宋" w:cs="仿宋"/>
      <w:kern w:val="0"/>
      <w:sz w:val="32"/>
      <w:szCs w:val="32"/>
    </w:rPr>
  </w:style>
  <w:style w:type="character" w:customStyle="1" w:styleId="33">
    <w:name w:val="批注框文本 字符"/>
    <w:basedOn w:val="20"/>
    <w:link w:val="10"/>
    <w:qFormat/>
    <w:uiPriority w:val="0"/>
    <w:rPr>
      <w:rFonts w:asciiTheme="minorHAnsi" w:hAnsiTheme="minorHAnsi" w:eastAsiaTheme="minorEastAsia" w:cstheme="minorBidi"/>
      <w:kern w:val="2"/>
      <w:sz w:val="18"/>
      <w:szCs w:val="18"/>
    </w:rPr>
  </w:style>
  <w:style w:type="character" w:customStyle="1" w:styleId="34">
    <w:name w:val="日期 字符"/>
    <w:basedOn w:val="20"/>
    <w:link w:val="9"/>
    <w:semiHidden/>
    <w:qFormat/>
    <w:uiPriority w:val="99"/>
    <w:rPr>
      <w:rFonts w:asciiTheme="minorHAnsi" w:hAnsiTheme="minorHAnsi" w:eastAsiaTheme="minorEastAsia" w:cstheme="minorBidi"/>
      <w:kern w:val="2"/>
      <w:sz w:val="21"/>
      <w:szCs w:val="22"/>
    </w:rPr>
  </w:style>
  <w:style w:type="paragraph" w:customStyle="1" w:styleId="35">
    <w:name w:val="Table Paragraph"/>
    <w:basedOn w:val="1"/>
    <w:unhideWhenUsed/>
    <w:qFormat/>
    <w:uiPriority w:val="1"/>
    <w:pPr>
      <w:spacing w:before="102"/>
      <w:ind w:left="295"/>
      <w:jc w:val="center"/>
    </w:pPr>
    <w:rPr>
      <w:sz w:val="24"/>
      <w:szCs w:val="24"/>
    </w:rPr>
  </w:style>
  <w:style w:type="character" w:customStyle="1" w:styleId="36">
    <w:name w:val="标题 2 字符"/>
    <w:basedOn w:val="20"/>
    <w:link w:val="3"/>
    <w:qFormat/>
    <w:uiPriority w:val="0"/>
    <w:rPr>
      <w:rFonts w:ascii="Calibri Light" w:hAnsi="Calibri Light"/>
      <w:b/>
      <w:bCs/>
      <w:kern w:val="2"/>
      <w:sz w:val="32"/>
      <w:szCs w:val="32"/>
    </w:rPr>
  </w:style>
  <w:style w:type="character" w:customStyle="1" w:styleId="37">
    <w:name w:val="font01"/>
    <w:basedOn w:val="20"/>
    <w:qFormat/>
    <w:uiPriority w:val="0"/>
    <w:rPr>
      <w:rFonts w:hint="default" w:ascii="Arial" w:hAnsi="Arial" w:cs="Arial"/>
      <w:color w:val="000000"/>
      <w:sz w:val="20"/>
      <w:szCs w:val="20"/>
      <w:u w:val="none"/>
    </w:rPr>
  </w:style>
  <w:style w:type="character" w:customStyle="1" w:styleId="38">
    <w:name w:val="font41"/>
    <w:basedOn w:val="20"/>
    <w:qFormat/>
    <w:uiPriority w:val="0"/>
    <w:rPr>
      <w:rFonts w:hint="eastAsia" w:ascii="宋体" w:hAnsi="宋体" w:eastAsia="宋体" w:cs="宋体"/>
      <w:b/>
      <w:bCs/>
      <w:color w:val="000000"/>
      <w:sz w:val="24"/>
      <w:szCs w:val="24"/>
      <w:u w:val="none"/>
    </w:rPr>
  </w:style>
  <w:style w:type="character" w:customStyle="1" w:styleId="39">
    <w:name w:val="font51"/>
    <w:basedOn w:val="20"/>
    <w:qFormat/>
    <w:uiPriority w:val="0"/>
    <w:rPr>
      <w:rFonts w:hint="eastAsia" w:ascii="宋体" w:hAnsi="宋体" w:eastAsia="宋体" w:cs="宋体"/>
      <w:color w:val="000000"/>
      <w:sz w:val="20"/>
      <w:szCs w:val="20"/>
      <w:u w:val="none"/>
    </w:rPr>
  </w:style>
  <w:style w:type="character" w:customStyle="1" w:styleId="40">
    <w:name w:val="font11"/>
    <w:basedOn w:val="20"/>
    <w:qFormat/>
    <w:uiPriority w:val="0"/>
    <w:rPr>
      <w:rFonts w:hint="default" w:ascii="Times New Roman" w:hAnsi="Times New Roman" w:cs="Times New Roman"/>
      <w:color w:val="000000"/>
      <w:sz w:val="20"/>
      <w:szCs w:val="20"/>
      <w:u w:val="none"/>
    </w:rPr>
  </w:style>
  <w:style w:type="character" w:customStyle="1" w:styleId="41">
    <w:name w:val="font31"/>
    <w:basedOn w:val="20"/>
    <w:qFormat/>
    <w:uiPriority w:val="0"/>
    <w:rPr>
      <w:rFonts w:hint="eastAsia" w:ascii="宋体" w:hAnsi="宋体" w:eastAsia="宋体" w:cs="宋体"/>
      <w:b/>
      <w:bCs/>
      <w:color w:val="000000"/>
      <w:sz w:val="20"/>
      <w:szCs w:val="20"/>
      <w:u w:val="none"/>
    </w:rPr>
  </w:style>
  <w:style w:type="paragraph" w:customStyle="1" w:styleId="4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376092" w:themeColor="accent1" w:themeShade="BF"/>
      <w:kern w:val="0"/>
      <w:szCs w:val="32"/>
    </w:rPr>
  </w:style>
  <w:style w:type="paragraph" w:customStyle="1" w:styleId="43">
    <w:name w:val="列出段落2"/>
    <w:basedOn w:val="1"/>
    <w:qFormat/>
    <w:uiPriority w:val="34"/>
    <w:pPr>
      <w:ind w:firstLine="420" w:firstLineChars="200"/>
    </w:pPr>
  </w:style>
  <w:style w:type="character" w:customStyle="1" w:styleId="44">
    <w:name w:val="批注文字 字符"/>
    <w:basedOn w:val="20"/>
    <w:link w:val="6"/>
    <w:qFormat/>
    <w:uiPriority w:val="0"/>
    <w:rPr>
      <w:rFonts w:asciiTheme="minorHAnsi" w:hAnsiTheme="minorHAnsi" w:eastAsiaTheme="minorEastAsia" w:cstheme="minorBidi"/>
      <w:kern w:val="2"/>
      <w:sz w:val="21"/>
      <w:szCs w:val="22"/>
    </w:rPr>
  </w:style>
  <w:style w:type="character" w:customStyle="1" w:styleId="45">
    <w:name w:val="批注主题 字符"/>
    <w:basedOn w:val="44"/>
    <w:link w:val="16"/>
    <w:semiHidden/>
    <w:qFormat/>
    <w:uiPriority w:val="99"/>
    <w:rPr>
      <w:rFonts w:asciiTheme="minorHAnsi" w:hAnsiTheme="minorHAnsi" w:eastAsiaTheme="minorEastAsia" w:cstheme="minorBidi"/>
      <w:b/>
      <w:bCs/>
      <w:kern w:val="2"/>
      <w:sz w:val="21"/>
      <w:szCs w:val="22"/>
    </w:rPr>
  </w:style>
  <w:style w:type="paragraph" w:customStyle="1" w:styleId="46">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7">
    <w:name w:val="hk8b8fjj2k3"/>
    <w:basedOn w:val="20"/>
    <w:qFormat/>
    <w:uiPriority w:val="0"/>
  </w:style>
  <w:style w:type="character" w:customStyle="1" w:styleId="48">
    <w:name w:val="q9xk589t"/>
    <w:basedOn w:val="20"/>
    <w:qFormat/>
    <w:uiPriority w:val="0"/>
  </w:style>
  <w:style w:type="paragraph" w:customStyle="1" w:styleId="49">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0">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1">
    <w:name w:val="修订4"/>
    <w:hidden/>
    <w:semiHidden/>
    <w:qFormat/>
    <w:uiPriority w:val="99"/>
    <w:rPr>
      <w:rFonts w:eastAsia="仿宋" w:asciiTheme="minorHAnsi" w:hAnsiTheme="minorHAnsi" w:cstheme="minorBidi"/>
      <w:kern w:val="2"/>
      <w:sz w:val="21"/>
      <w:szCs w:val="22"/>
      <w:lang w:val="en-US" w:eastAsia="zh-CN" w:bidi="ar-SA"/>
    </w:rPr>
  </w:style>
  <w:style w:type="paragraph" w:customStyle="1" w:styleId="52">
    <w:name w:val="修订5"/>
    <w:hidden/>
    <w:semiHidden/>
    <w:qFormat/>
    <w:uiPriority w:val="99"/>
    <w:rPr>
      <w:rFonts w:eastAsia="仿宋" w:asciiTheme="minorHAnsi" w:hAnsiTheme="minorHAnsi" w:cstheme="minorBidi"/>
      <w:kern w:val="2"/>
      <w:sz w:val="21"/>
      <w:szCs w:val="22"/>
      <w:lang w:val="en-US" w:eastAsia="zh-CN" w:bidi="ar-SA"/>
    </w:rPr>
  </w:style>
  <w:style w:type="paragraph" w:styleId="53">
    <w:name w:val="List Paragraph"/>
    <w:basedOn w:val="1"/>
    <w:qFormat/>
    <w:uiPriority w:val="99"/>
    <w:pPr>
      <w:ind w:firstLine="420" w:firstLineChars="200"/>
    </w:pPr>
  </w:style>
  <w:style w:type="paragraph" w:customStyle="1" w:styleId="54">
    <w:name w:val="修订6"/>
    <w:hidden/>
    <w:semiHidden/>
    <w:qFormat/>
    <w:uiPriority w:val="99"/>
    <w:rPr>
      <w:rFonts w:eastAsia="仿宋" w:asciiTheme="minorHAnsi" w:hAnsiTheme="minorHAnsi" w:cstheme="minorBidi"/>
      <w:kern w:val="2"/>
      <w:sz w:val="21"/>
      <w:szCs w:val="22"/>
      <w:lang w:val="en-US" w:eastAsia="zh-CN" w:bidi="ar-SA"/>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修订7"/>
    <w:hidden/>
    <w:semiHidden/>
    <w:qFormat/>
    <w:uiPriority w:val="99"/>
    <w:rPr>
      <w:rFonts w:eastAsia="仿宋" w:asciiTheme="minorHAnsi" w:hAnsiTheme="minorHAnsi" w:cstheme="minorBidi"/>
      <w:kern w:val="2"/>
      <w:sz w:val="21"/>
      <w:szCs w:val="22"/>
      <w:lang w:val="en-US" w:eastAsia="zh-CN" w:bidi="ar-SA"/>
    </w:rPr>
  </w:style>
  <w:style w:type="paragraph" w:customStyle="1" w:styleId="58">
    <w:name w:val="修订8"/>
    <w:hidden/>
    <w:semiHidden/>
    <w:qFormat/>
    <w:uiPriority w:val="99"/>
    <w:rPr>
      <w:rFonts w:eastAsia="仿宋" w:asciiTheme="minorHAnsi" w:hAnsiTheme="minorHAnsi" w:cstheme="minorBidi"/>
      <w:kern w:val="2"/>
      <w:sz w:val="21"/>
      <w:szCs w:val="22"/>
      <w:lang w:val="en-US" w:eastAsia="zh-CN" w:bidi="ar-SA"/>
    </w:rPr>
  </w:style>
  <w:style w:type="paragraph" w:customStyle="1" w:styleId="59">
    <w:name w:val="修订9"/>
    <w:hidden/>
    <w:semiHidden/>
    <w:qFormat/>
    <w:uiPriority w:val="99"/>
    <w:rPr>
      <w:rFonts w:eastAsia="仿宋" w:asciiTheme="minorHAnsi" w:hAnsiTheme="minorHAnsi" w:cstheme="minorBidi"/>
      <w:kern w:val="2"/>
      <w:sz w:val="21"/>
      <w:szCs w:val="22"/>
      <w:lang w:val="en-US" w:eastAsia="zh-CN" w:bidi="ar-SA"/>
    </w:rPr>
  </w:style>
  <w:style w:type="paragraph" w:customStyle="1" w:styleId="60">
    <w:name w:val="修订10"/>
    <w:hidden/>
    <w:semiHidden/>
    <w:qFormat/>
    <w:uiPriority w:val="99"/>
    <w:rPr>
      <w:rFonts w:eastAsia="仿宋" w:asciiTheme="minorHAnsi" w:hAnsiTheme="minorHAnsi" w:cstheme="minorBidi"/>
      <w:kern w:val="2"/>
      <w:sz w:val="21"/>
      <w:szCs w:val="22"/>
      <w:lang w:val="en-US" w:eastAsia="zh-CN" w:bidi="ar-SA"/>
    </w:rPr>
  </w:style>
  <w:style w:type="character" w:customStyle="1" w:styleId="61">
    <w:name w:val="font61"/>
    <w:basedOn w:val="20"/>
    <w:qFormat/>
    <w:uiPriority w:val="0"/>
    <w:rPr>
      <w:rFonts w:hint="eastAsia" w:ascii="仿宋" w:hAnsi="仿宋" w:eastAsia="仿宋" w:cs="仿宋"/>
      <w:color w:val="000000"/>
      <w:sz w:val="24"/>
      <w:szCs w:val="24"/>
      <w:u w:val="none"/>
    </w:rPr>
  </w:style>
  <w:style w:type="character" w:customStyle="1" w:styleId="62">
    <w:name w:val="font71"/>
    <w:basedOn w:val="20"/>
    <w:qFormat/>
    <w:uiPriority w:val="0"/>
    <w:rPr>
      <w:rFonts w:hint="default" w:ascii="Times New Roman" w:hAnsi="Times New Roman" w:cs="Times New Roman"/>
      <w:color w:val="333333"/>
      <w:sz w:val="24"/>
      <w:szCs w:val="24"/>
      <w:u w:val="none"/>
    </w:rPr>
  </w:style>
  <w:style w:type="character" w:customStyle="1" w:styleId="63">
    <w:name w:val="font81"/>
    <w:basedOn w:val="20"/>
    <w:qFormat/>
    <w:uiPriority w:val="0"/>
    <w:rPr>
      <w:rFonts w:hint="eastAsia" w:ascii="仿宋" w:hAnsi="仿宋" w:eastAsia="仿宋" w:cs="仿宋"/>
      <w:color w:val="333333"/>
      <w:sz w:val="24"/>
      <w:szCs w:val="24"/>
      <w:u w:val="none"/>
    </w:rPr>
  </w:style>
  <w:style w:type="character" w:customStyle="1" w:styleId="64">
    <w:name w:val="font21"/>
    <w:basedOn w:val="20"/>
    <w:qFormat/>
    <w:uiPriority w:val="0"/>
    <w:rPr>
      <w:rFonts w:hint="default" w:ascii="Times New Roman" w:hAnsi="Times New Roman" w:cs="Times New Roman"/>
      <w:color w:val="000000"/>
      <w:sz w:val="24"/>
      <w:szCs w:val="24"/>
      <w:u w:val="none"/>
    </w:rPr>
  </w:style>
  <w:style w:type="character" w:customStyle="1" w:styleId="65">
    <w:name w:val="font101"/>
    <w:basedOn w:val="20"/>
    <w:qFormat/>
    <w:uiPriority w:val="0"/>
    <w:rPr>
      <w:rFonts w:ascii="仿宋_GB2312" w:eastAsia="仿宋_GB2312" w:cs="仿宋_GB2312"/>
      <w:b/>
      <w:bCs/>
      <w:color w:val="000000"/>
      <w:sz w:val="28"/>
      <w:szCs w:val="28"/>
      <w:u w:val="none"/>
    </w:rPr>
  </w:style>
  <w:style w:type="character" w:customStyle="1" w:styleId="66">
    <w:name w:val="font12"/>
    <w:basedOn w:val="20"/>
    <w:qFormat/>
    <w:uiPriority w:val="0"/>
    <w:rPr>
      <w:rFonts w:hint="default" w:ascii="Times New Roman" w:hAnsi="Times New Roman" w:cs="Times New Roman"/>
      <w:color w:val="000000"/>
      <w:sz w:val="28"/>
      <w:szCs w:val="28"/>
      <w:u w:val="none"/>
    </w:rPr>
  </w:style>
  <w:style w:type="character" w:customStyle="1" w:styleId="67">
    <w:name w:val="font111"/>
    <w:basedOn w:val="20"/>
    <w:qFormat/>
    <w:uiPriority w:val="0"/>
    <w:rPr>
      <w:rFonts w:hint="eastAsia" w:ascii="仿宋_GB2312" w:eastAsia="仿宋_GB2312" w:cs="仿宋_GB2312"/>
      <w:color w:val="333333"/>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22</Pages>
  <Words>1878</Words>
  <Characters>10708</Characters>
  <Lines>89</Lines>
  <Paragraphs>25</Paragraphs>
  <TotalTime>9</TotalTime>
  <ScaleCrop>false</ScaleCrop>
  <LinksUpToDate>false</LinksUpToDate>
  <CharactersWithSpaces>12561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2023-12-08T08:01:00Z</dcterms:created>
  <dc:creator>hill</dc:creator>
  <cp:lastModifiedBy>宏景运维</cp:lastModifiedBy>
  <cp:lastPrinted>2023-11-15T08:35:00Z</cp:lastPrinted>
  <dcterms:modified xsi:type="dcterms:W3CDTF">2024-02-20T09:42:24Z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62C1241E6BDF45D1B2C617C779CB0E20</vt:lpwstr>
  </property>
</Properties>
</file>