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附件1-3</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default" w:ascii="仿宋" w:hAnsi="仿宋" w:eastAsia="仿宋" w:cs="仿宋"/>
          <w:b/>
          <w:bCs/>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广州市森林康养基地动态监测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评分标准</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eastAsia" w:ascii="仿宋" w:hAnsi="仿宋" w:eastAsia="仿宋" w:cs="仿宋"/>
          <w:b/>
          <w:bCs/>
          <w:sz w:val="32"/>
          <w:szCs w:val="4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一、评分项目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FF0000"/>
          <w:sz w:val="32"/>
          <w:szCs w:val="40"/>
          <w:lang w:val="en-US" w:eastAsia="zh-CN"/>
        </w:rPr>
      </w:pPr>
      <w:r>
        <w:rPr>
          <w:rFonts w:hint="eastAsia" w:ascii="楷体_GB2312" w:hAnsi="楷体_GB2312" w:eastAsia="楷体_GB2312" w:cs="楷体_GB2312"/>
          <w:b/>
          <w:bCs/>
          <w:sz w:val="32"/>
          <w:szCs w:val="40"/>
          <w:lang w:val="en-US" w:eastAsia="zh-CN"/>
        </w:rPr>
        <w:t xml:space="preserve">1. </w:t>
      </w:r>
      <w:r>
        <w:rPr>
          <w:rFonts w:hint="eastAsia" w:ascii="楷体_GB2312" w:hAnsi="楷体_GB2312" w:eastAsia="楷体_GB2312" w:cs="楷体_GB2312"/>
          <w:b/>
          <w:bCs/>
          <w:color w:val="auto"/>
          <w:sz w:val="32"/>
          <w:szCs w:val="40"/>
          <w:lang w:val="en-US" w:eastAsia="zh-CN"/>
        </w:rPr>
        <w:t>森林质量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 xml:space="preserve">1.1 </w:t>
      </w:r>
      <w:r>
        <w:rPr>
          <w:rFonts w:hint="eastAsia" w:ascii="仿宋_GB2312" w:hAnsi="仿宋_GB2312" w:eastAsia="仿宋_GB2312" w:cs="仿宋_GB2312"/>
          <w:b/>
          <w:bCs/>
          <w:sz w:val="32"/>
          <w:szCs w:val="40"/>
          <w:lang w:val="en-US" w:eastAsia="zh-CN"/>
        </w:rPr>
        <w:t>森林面积：</w:t>
      </w:r>
      <w:r>
        <w:rPr>
          <w:rFonts w:hint="eastAsia" w:ascii="仿宋_GB2312" w:hAnsi="仿宋_GB2312" w:eastAsia="仿宋_GB2312" w:cs="仿宋_GB2312"/>
          <w:b w:val="0"/>
          <w:bCs w:val="0"/>
          <w:sz w:val="32"/>
          <w:szCs w:val="40"/>
          <w:lang w:val="en-US" w:eastAsia="zh-CN"/>
        </w:rPr>
        <w:t>基地及其毗邻区域的森林总面积。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1.2</w:t>
      </w:r>
      <w:r>
        <w:rPr>
          <w:rFonts w:hint="eastAsia" w:ascii="仿宋_GB2312" w:hAnsi="仿宋_GB2312" w:eastAsia="仿宋_GB2312" w:cs="仿宋_GB2312"/>
          <w:b/>
          <w:bCs/>
          <w:sz w:val="32"/>
          <w:szCs w:val="40"/>
          <w:lang w:val="en-US" w:eastAsia="zh-CN"/>
        </w:rPr>
        <w:t xml:space="preserve"> 森林覆盖率：</w:t>
      </w:r>
      <w:r>
        <w:rPr>
          <w:rFonts w:hint="eastAsia" w:ascii="仿宋_GB2312" w:hAnsi="仿宋_GB2312" w:eastAsia="仿宋_GB2312" w:cs="仿宋_GB2312"/>
          <w:b w:val="0"/>
          <w:bCs w:val="0"/>
          <w:sz w:val="32"/>
          <w:szCs w:val="40"/>
          <w:lang w:val="en-US" w:eastAsia="zh-CN"/>
        </w:rPr>
        <w:t>基地区域内森林覆盖率。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 xml:space="preserve">1.3 </w:t>
      </w:r>
      <w:r>
        <w:rPr>
          <w:rFonts w:hint="eastAsia" w:ascii="仿宋_GB2312" w:hAnsi="仿宋_GB2312" w:eastAsia="仿宋_GB2312" w:cs="仿宋_GB2312"/>
          <w:b/>
          <w:bCs/>
          <w:sz w:val="32"/>
          <w:szCs w:val="40"/>
          <w:lang w:val="en-US" w:eastAsia="zh-CN"/>
        </w:rPr>
        <w:t>郁闭度：</w:t>
      </w:r>
      <w:r>
        <w:rPr>
          <w:rFonts w:hint="eastAsia" w:ascii="仿宋_GB2312" w:hAnsi="仿宋_GB2312" w:eastAsia="仿宋_GB2312" w:cs="仿宋_GB2312"/>
          <w:b w:val="0"/>
          <w:bCs w:val="0"/>
          <w:sz w:val="32"/>
          <w:szCs w:val="40"/>
          <w:lang w:val="en-US" w:eastAsia="zh-CN"/>
        </w:rPr>
        <w:t>基地区域内森林平均郁闭度。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 xml:space="preserve">1.4 </w:t>
      </w:r>
      <w:r>
        <w:rPr>
          <w:rFonts w:hint="eastAsia" w:ascii="仿宋_GB2312" w:hAnsi="仿宋_GB2312" w:eastAsia="仿宋_GB2312" w:cs="仿宋_GB2312"/>
          <w:b/>
          <w:bCs/>
          <w:sz w:val="32"/>
          <w:szCs w:val="40"/>
          <w:lang w:val="en-US" w:eastAsia="zh-CN"/>
        </w:rPr>
        <w:t>生物多样性：</w:t>
      </w:r>
      <w:r>
        <w:rPr>
          <w:rFonts w:hint="eastAsia" w:ascii="仿宋_GB2312" w:hAnsi="仿宋_GB2312" w:eastAsia="仿宋_GB2312" w:cs="仿宋_GB2312"/>
          <w:b w:val="0"/>
          <w:bCs w:val="0"/>
          <w:sz w:val="32"/>
          <w:szCs w:val="40"/>
          <w:lang w:val="en-US" w:eastAsia="zh-CN"/>
        </w:rPr>
        <w:t>植被良好，动植物物种及生境类型多样。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 xml:space="preserve">1.5 </w:t>
      </w:r>
      <w:r>
        <w:rPr>
          <w:rFonts w:hint="eastAsia" w:ascii="仿宋_GB2312" w:hAnsi="仿宋_GB2312" w:eastAsia="仿宋_GB2312" w:cs="仿宋_GB2312"/>
          <w:b/>
          <w:bCs/>
          <w:sz w:val="32"/>
          <w:szCs w:val="40"/>
          <w:lang w:val="en-US" w:eastAsia="zh-CN"/>
        </w:rPr>
        <w:t>面积指标：</w:t>
      </w:r>
      <w:r>
        <w:rPr>
          <w:rFonts w:hint="eastAsia" w:ascii="仿宋_GB2312" w:hAnsi="仿宋_GB2312" w:eastAsia="仿宋_GB2312" w:cs="仿宋_GB2312"/>
          <w:b w:val="0"/>
          <w:bCs w:val="0"/>
          <w:sz w:val="32"/>
          <w:szCs w:val="40"/>
          <w:lang w:val="en-US" w:eastAsia="zh-CN"/>
        </w:rPr>
        <w:t>基地面积</w:t>
      </w:r>
      <w:r>
        <w:rPr>
          <w:rFonts w:hint="eastAsia" w:ascii="仿宋_GB2312" w:hAnsi="仿宋_GB2312" w:eastAsia="仿宋_GB2312" w:cs="仿宋_GB2312"/>
          <w:b w:val="0"/>
          <w:bCs w:val="0"/>
          <w:sz w:val="32"/>
          <w:szCs w:val="40"/>
          <w:vertAlign w:val="baseline"/>
          <w:lang w:val="en-US" w:eastAsia="zh-CN"/>
        </w:rPr>
        <w:t>的集中区域，并且权属清晰，无争议。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 xml:space="preserve">1.6 </w:t>
      </w:r>
      <w:r>
        <w:rPr>
          <w:rFonts w:hint="eastAsia" w:ascii="仿宋_GB2312" w:hAnsi="仿宋_GB2312" w:eastAsia="仿宋_GB2312" w:cs="仿宋_GB2312"/>
          <w:b/>
          <w:bCs/>
          <w:sz w:val="32"/>
          <w:szCs w:val="40"/>
          <w:lang w:val="en-US" w:eastAsia="zh-CN"/>
        </w:rPr>
        <w:t>景观资源：</w:t>
      </w:r>
      <w:r>
        <w:rPr>
          <w:rFonts w:hint="eastAsia" w:ascii="仿宋_GB2312" w:hAnsi="仿宋_GB2312" w:eastAsia="仿宋_GB2312" w:cs="仿宋_GB2312"/>
          <w:b w:val="0"/>
          <w:bCs w:val="0"/>
          <w:sz w:val="32"/>
          <w:szCs w:val="40"/>
          <w:lang w:val="en-US" w:eastAsia="zh-CN"/>
        </w:rPr>
        <w:t>森林康养基地及周边的景观资源可分为地文景观资源、生物景观资源、水文景观资源、人文景观资源、天象景观资源等，应有利于森林康养活动，并执行GB/T 18005评价标准。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2. 建设内容的完整性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2.1 森林康养产品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针对不同的森林康养人群，设定森林康养目标，提供休闲、健身、养生、养老、疗养、认知、体验等不同类别的森林康养产品，开展与之适宜的活动、课程、节事等,丰富森林康养产品,提高产品成效。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2.2 森林康养设施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一般包括开展森林静养、动养以及与温泉、饮食、文化等结合的森林康养场所和相关设施。森林康养设施应保证安全性好，标识科学、简明、清晰,养护规范,满足森林康养活动的正常开展。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2.3 医疗应急设施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基地应建设应急救护设施,并能够提供森林康养人员健康咨询服务。医疗应急设施也可利用基地周边的医疗机构现有资源，形成资源共享联动机制。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2.4 配套基础设施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森林康养基地应配套道路、通讯、标识、供电、给排水、供热、燃气、污水垃圾处理、无障碍设施、公厕及业务管理用房等。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2.5 森林康养服务团队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森林康养基地服务团队应明确专业森林康养服务人员的类型和数量,保证其服务能力可以满足基地内森林康养项目开展的需求，应设有运营管理机构及相应的人员，明确职能责任范围，形成管理体系。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2.6 森林康养培训体系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为满足森林康养服务的需求，具备完整的师资力量,形成一定的课程体系、培训管理体系和培训效果评估机制。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2.7 社会服务体系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在当地政府和主管部门的领导下及行业协会的指导下,通过引入社会机构合作等方式,提升森林康养的服务和接待能力，形成公共服务、基地康养机构从业人员服务和康养人员依法依规自我服务于一体的综合服务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2.8 基地营销体系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能够根据森林康养消费人群的显性和隐性需求，建立高效营销团队，使基地与消费者、分销商、网络机构等形成稳定的营销体系。森林康养基地可依据自身情况选择自行推广或者委托推广，并建立相应的运营推广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2.9 防灾应急体系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应急防灾包括火灾、有害生物、台风、暴雨、地质灾害等防控体系,针对可引发自然灾害的极端天气做好监测预警工作。森林康养基地要制定自然灾害、安全生产、食品安全、拥挤踩踏、防恐防暴等突发事件的应急预案，明确突发事件发生后应急工作的组织领导、职责、</w:t>
      </w:r>
      <w:r>
        <w:rPr>
          <w:rFonts w:hint="eastAsia" w:ascii="仿宋_GB2312" w:hAnsi="仿宋_GB2312" w:eastAsia="仿宋_GB2312" w:cs="仿宋_GB2312"/>
          <w:b w:val="0"/>
          <w:bCs w:val="0"/>
          <w:color w:val="auto"/>
          <w:sz w:val="32"/>
          <w:szCs w:val="40"/>
          <w:lang w:val="en-US" w:eastAsia="zh-CN"/>
        </w:rPr>
        <w:t>工作程序和措施。</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森林康养设施的安全性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3.1 服务及游憩场地的安全性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3.1.1 服务及游憩场地选址应确保基地环境安全,无崩塌、滑坡、山洪、泥石流、地裂缝等地质灾害隐患。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3.1.2 不存在疫源疫病传播风险及其他对森林康养活动及人体健康造成威胁的安全隐患。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3.2 健身运动设施及场地的安全性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3.2.1 健身运动设施应选择符合相应安全标准的器具,安装牢固,定期维护。</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3.2.2 健身运动场地远离机动车道,远离人流密集的通道。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3.2.3 健身运动场地外侧应预留一定的缓冲区,减少意外伤害。缓冲区内不应有任何突出地面的固定障碍物。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lang w:val="en-US" w:eastAsia="zh-CN"/>
        </w:rPr>
        <w:t>3.3 森林康养项目的安全性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3.3.1 森林康养项目活动内容要进行安全性评估,确保项目参与人群的安全。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3.3.2 森林康复和疗养类型的项目,要经过临床医学科学论证。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40"/>
          <w:lang w:val="en-US" w:eastAsia="zh-CN"/>
        </w:rPr>
      </w:pPr>
      <w:r>
        <w:rPr>
          <w:rFonts w:hint="eastAsia" w:ascii="楷体_GB2312" w:hAnsi="楷体_GB2312" w:eastAsia="楷体_GB2312" w:cs="楷体_GB2312"/>
          <w:b/>
          <w:bCs/>
          <w:sz w:val="32"/>
          <w:szCs w:val="40"/>
          <w:lang w:val="en-US" w:eastAsia="zh-CN"/>
        </w:rPr>
        <w:t>4 森林康养项目开展情况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4.1 森林康养项目应充分发挥本基地的资源优势，设置不同于其他基地的特色森林康养项目。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4.2 森林康养项目及活动内容的设置注重提升康养人员主动性，积极性，提升康养人员的互动和参与程度。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sz w:val="32"/>
          <w:szCs w:val="40"/>
          <w:lang w:val="en-US" w:eastAsia="zh-CN"/>
        </w:rPr>
      </w:pPr>
      <w:r>
        <w:rPr>
          <w:rFonts w:hint="eastAsia" w:ascii="仿宋_GB2312" w:hAnsi="仿宋_GB2312" w:eastAsia="仿宋_GB2312" w:cs="仿宋_GB2312"/>
          <w:b w:val="0"/>
          <w:bCs w:val="0"/>
          <w:sz w:val="32"/>
          <w:szCs w:val="40"/>
          <w:lang w:val="en-US" w:eastAsia="zh-CN"/>
        </w:rPr>
        <w:t>4.3 考虑技术支撑和后续更新的可持续性，拓展和延伸森林康养项目运营周期,实现效益最大化。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sz w:val="32"/>
          <w:szCs w:val="40"/>
          <w:lang w:val="en-US" w:eastAsia="zh-CN"/>
        </w:rPr>
      </w:pPr>
      <w:r>
        <w:rPr>
          <w:rFonts w:hint="eastAsia" w:ascii="黑体" w:hAnsi="黑体" w:eastAsia="黑体" w:cs="黑体"/>
          <w:b w:val="0"/>
          <w:bCs w:val="0"/>
          <w:sz w:val="32"/>
          <w:szCs w:val="40"/>
          <w:lang w:val="en-US" w:eastAsia="zh-CN"/>
        </w:rPr>
        <w:t>二、评分方法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 w:hAnsi="仿宋" w:eastAsia="仿宋" w:cs="仿宋"/>
          <w:b w:val="0"/>
          <w:bCs w:val="0"/>
          <w:sz w:val="32"/>
          <w:szCs w:val="40"/>
          <w:lang w:val="en-US" w:eastAsia="zh-CN"/>
        </w:rPr>
      </w:pPr>
      <w:r>
        <w:rPr>
          <w:rFonts w:hint="default" w:ascii="仿宋" w:hAnsi="仿宋" w:eastAsia="仿宋" w:cs="仿宋"/>
          <w:b w:val="0"/>
          <w:bCs w:val="0"/>
          <w:sz w:val="32"/>
          <w:szCs w:val="40"/>
          <w:lang w:val="en-US" w:eastAsia="zh-CN"/>
        </w:rPr>
        <w:t>从森林质量、建设内容的完整性</w:t>
      </w:r>
      <w:r>
        <w:rPr>
          <w:rFonts w:hint="eastAsia" w:ascii="仿宋" w:hAnsi="仿宋" w:eastAsia="仿宋" w:cs="仿宋"/>
          <w:b w:val="0"/>
          <w:bCs w:val="0"/>
          <w:sz w:val="32"/>
          <w:szCs w:val="40"/>
          <w:lang w:val="en-US" w:eastAsia="zh-CN"/>
        </w:rPr>
        <w:t>、</w:t>
      </w:r>
      <w:r>
        <w:rPr>
          <w:rFonts w:hint="default" w:ascii="仿宋" w:hAnsi="仿宋" w:eastAsia="仿宋" w:cs="仿宋"/>
          <w:b w:val="0"/>
          <w:bCs w:val="0"/>
          <w:sz w:val="32"/>
          <w:szCs w:val="40"/>
          <w:lang w:val="en-US" w:eastAsia="zh-CN"/>
        </w:rPr>
        <w:t>基础设施的安全性、</w:t>
      </w:r>
      <w:r>
        <w:rPr>
          <w:rFonts w:hint="eastAsia" w:ascii="仿宋" w:hAnsi="仿宋" w:eastAsia="仿宋" w:cs="仿宋"/>
          <w:b w:val="0"/>
          <w:bCs w:val="0"/>
          <w:sz w:val="32"/>
          <w:szCs w:val="40"/>
          <w:lang w:val="en-US" w:eastAsia="zh-CN"/>
        </w:rPr>
        <w:t>森</w:t>
      </w:r>
      <w:r>
        <w:rPr>
          <w:rFonts w:hint="default" w:ascii="仿宋" w:hAnsi="仿宋" w:eastAsia="仿宋" w:cs="仿宋"/>
          <w:b w:val="0"/>
          <w:bCs w:val="0"/>
          <w:sz w:val="32"/>
          <w:szCs w:val="40"/>
          <w:lang w:val="en-US" w:eastAsia="zh-CN"/>
        </w:rPr>
        <w:t>林康养</w:t>
      </w:r>
      <w:r>
        <w:rPr>
          <w:rFonts w:hint="eastAsia" w:ascii="仿宋" w:hAnsi="仿宋" w:eastAsia="仿宋" w:cs="仿宋"/>
          <w:b w:val="0"/>
          <w:bCs w:val="0"/>
          <w:sz w:val="32"/>
          <w:szCs w:val="40"/>
          <w:lang w:val="en-US" w:eastAsia="zh-CN"/>
        </w:rPr>
        <w:t>项目开展情况4</w:t>
      </w:r>
      <w:r>
        <w:rPr>
          <w:rFonts w:hint="default" w:ascii="仿宋" w:hAnsi="仿宋" w:eastAsia="仿宋" w:cs="仿宋"/>
          <w:b w:val="0"/>
          <w:bCs w:val="0"/>
          <w:sz w:val="32"/>
          <w:szCs w:val="40"/>
          <w:lang w:val="en-US" w:eastAsia="zh-CN"/>
        </w:rPr>
        <w:t>个方面采取量化分级打分的方法进行</w:t>
      </w:r>
      <w:r>
        <w:rPr>
          <w:rFonts w:hint="eastAsia" w:ascii="仿宋" w:hAnsi="仿宋" w:eastAsia="仿宋" w:cs="仿宋"/>
          <w:b w:val="0"/>
          <w:bCs w:val="0"/>
          <w:sz w:val="32"/>
          <w:szCs w:val="40"/>
          <w:lang w:val="en-US" w:eastAsia="zh-CN"/>
        </w:rPr>
        <w:t>质量</w:t>
      </w:r>
      <w:r>
        <w:rPr>
          <w:rFonts w:hint="default" w:ascii="仿宋" w:hAnsi="仿宋" w:eastAsia="仿宋" w:cs="仿宋"/>
          <w:b w:val="0"/>
          <w:bCs w:val="0"/>
          <w:sz w:val="32"/>
          <w:szCs w:val="40"/>
          <w:lang w:val="en-US" w:eastAsia="zh-CN"/>
        </w:rPr>
        <w:t>评定</w:t>
      </w:r>
      <w:r>
        <w:rPr>
          <w:rFonts w:hint="eastAsia" w:ascii="仿宋" w:hAnsi="仿宋" w:eastAsia="仿宋" w:cs="仿宋"/>
          <w:b w:val="0"/>
          <w:bCs w:val="0"/>
          <w:sz w:val="32"/>
          <w:szCs w:val="40"/>
          <w:lang w:val="en-US" w:eastAsia="zh-CN"/>
        </w:rPr>
        <w:t>，</w:t>
      </w:r>
      <w:r>
        <w:rPr>
          <w:rFonts w:hint="default" w:ascii="仿宋" w:hAnsi="仿宋" w:eastAsia="仿宋" w:cs="仿宋"/>
          <w:b w:val="0"/>
          <w:bCs w:val="0"/>
          <w:sz w:val="32"/>
          <w:szCs w:val="40"/>
          <w:lang w:val="en-US" w:eastAsia="zh-CN"/>
        </w:rPr>
        <w:t>总分共计100分(见附录 A)。</w:t>
      </w:r>
    </w:p>
    <w:p>
      <w:pPr>
        <w:rPr>
          <w:rFonts w:hint="default" w:ascii="仿宋" w:hAnsi="仿宋" w:eastAsia="仿宋" w:cs="仿宋"/>
          <w:b w:val="0"/>
          <w:bCs w:val="0"/>
          <w:sz w:val="32"/>
          <w:szCs w:val="40"/>
          <w:lang w:val="en-US" w:eastAsia="zh-CN"/>
        </w:rPr>
        <w:sectPr>
          <w:pgSz w:w="11906" w:h="16838"/>
          <w:pgMar w:top="1440" w:right="1800" w:bottom="1440" w:left="1800" w:header="851" w:footer="992" w:gutter="0"/>
          <w:cols w:space="425" w:num="1"/>
          <w:docGrid w:type="lines" w:linePitch="312" w:charSpace="0"/>
        </w:sectPr>
      </w:pPr>
    </w:p>
    <w:tbl>
      <w:tblPr>
        <w:tblStyle w:val="4"/>
        <w:tblW w:w="10582"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6"/>
        <w:gridCol w:w="1182"/>
        <w:gridCol w:w="1242"/>
        <w:gridCol w:w="2174"/>
        <w:gridCol w:w="3377"/>
        <w:gridCol w:w="696"/>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10582" w:type="dxa"/>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30"/>
                <w:szCs w:val="30"/>
                <w:u w:val="none"/>
                <w:lang w:val="en-US" w:eastAsia="zh-CN" w:bidi="ar"/>
              </w:rPr>
            </w:pPr>
            <w:r>
              <w:rPr>
                <w:rFonts w:hint="eastAsia" w:ascii="宋体" w:hAnsi="宋体" w:eastAsia="宋体" w:cs="宋体"/>
                <w:b/>
                <w:bCs/>
                <w:i w:val="0"/>
                <w:iCs w:val="0"/>
                <w:color w:val="000000"/>
                <w:kern w:val="0"/>
                <w:sz w:val="30"/>
                <w:szCs w:val="30"/>
                <w:u w:val="none"/>
                <w:lang w:val="en-US" w:eastAsia="zh-CN" w:bidi="ar"/>
              </w:rPr>
              <w:t>附录 A</w:t>
            </w:r>
          </w:p>
          <w:p>
            <w:pPr>
              <w:keepNext w:val="0"/>
              <w:keepLines w:val="0"/>
              <w:widowControl/>
              <w:suppressLineNumbers w:val="0"/>
              <w:jc w:val="center"/>
              <w:textAlignment w:val="center"/>
              <w:rPr>
                <w:rFonts w:ascii="仿宋" w:hAnsi="仿宋" w:eastAsia="仿宋" w:cs="仿宋"/>
                <w:b/>
                <w:bCs/>
                <w:i w:val="0"/>
                <w:iCs w:val="0"/>
                <w:color w:val="000000"/>
                <w:sz w:val="30"/>
                <w:szCs w:val="30"/>
                <w:u w:val="none"/>
              </w:rPr>
            </w:pPr>
            <w:r>
              <w:rPr>
                <w:rFonts w:hint="eastAsia" w:ascii="仿宋_GB2312" w:hAnsi="仿宋_GB2312" w:eastAsia="仿宋_GB2312" w:cs="仿宋_GB2312"/>
                <w:b/>
                <w:bCs/>
                <w:i w:val="0"/>
                <w:iCs w:val="0"/>
                <w:color w:val="000000"/>
                <w:kern w:val="0"/>
                <w:sz w:val="30"/>
                <w:szCs w:val="30"/>
                <w:u w:val="none"/>
                <w:lang w:val="en-US" w:eastAsia="zh-CN" w:bidi="ar"/>
              </w:rPr>
              <w:t>广州市森林康养基地评分标准表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序号</w:t>
            </w:r>
          </w:p>
        </w:tc>
        <w:tc>
          <w:tcPr>
            <w:tcW w:w="4598"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项目指标与量化分级</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分值</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评价得分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森林质量（30分）</w:t>
            </w: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基地及其毗邻区域的森林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总面积</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≥1500hm</w:t>
            </w:r>
            <w:r>
              <w:rPr>
                <w:rStyle w:val="8"/>
                <w:rFonts w:hint="eastAsia" w:ascii="仿宋_GB2312" w:hAnsi="仿宋_GB2312" w:eastAsia="仿宋_GB2312" w:cs="仿宋_GB2312"/>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1000hm</w:t>
            </w:r>
            <w:r>
              <w:rPr>
                <w:rStyle w:val="8"/>
                <w:rFonts w:hint="eastAsia" w:ascii="仿宋_GB2312" w:hAnsi="仿宋_GB2312" w:eastAsia="仿宋_GB2312" w:cs="仿宋_GB2312"/>
                <w:lang w:val="en-US" w:eastAsia="zh-CN" w:bidi="ar"/>
              </w:rPr>
              <w:t>2</w:t>
            </w:r>
            <w:r>
              <w:rPr>
                <w:rStyle w:val="9"/>
                <w:rFonts w:hint="eastAsia" w:ascii="仿宋_GB2312" w:hAnsi="仿宋_GB2312" w:eastAsia="仿宋_GB2312" w:cs="仿宋_GB2312"/>
                <w:lang w:val="en-US" w:eastAsia="zh-CN" w:bidi="ar"/>
              </w:rPr>
              <w:t>-1500hm</w:t>
            </w:r>
            <w:r>
              <w:rPr>
                <w:rStyle w:val="8"/>
                <w:rFonts w:hint="eastAsia" w:ascii="仿宋_GB2312" w:hAnsi="仿宋_GB2312" w:eastAsia="仿宋_GB2312" w:cs="仿宋_GB2312"/>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5"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350hm</w:t>
            </w:r>
            <w:r>
              <w:rPr>
                <w:rStyle w:val="8"/>
                <w:rFonts w:hint="eastAsia" w:ascii="仿宋_GB2312" w:hAnsi="仿宋_GB2312" w:eastAsia="仿宋_GB2312" w:cs="仿宋_GB2312"/>
                <w:lang w:val="en-US" w:eastAsia="zh-CN" w:bidi="ar"/>
              </w:rPr>
              <w:t>2</w:t>
            </w:r>
            <w:r>
              <w:rPr>
                <w:rStyle w:val="9"/>
                <w:rFonts w:hint="eastAsia" w:ascii="仿宋_GB2312" w:hAnsi="仿宋_GB2312" w:eastAsia="仿宋_GB2312" w:cs="仿宋_GB2312"/>
                <w:lang w:val="en-US" w:eastAsia="zh-CN" w:bidi="ar"/>
              </w:rPr>
              <w:t>-1000hm</w:t>
            </w:r>
            <w:r>
              <w:rPr>
                <w:rStyle w:val="8"/>
                <w:rFonts w:hint="eastAsia" w:ascii="仿宋_GB2312" w:hAnsi="仿宋_GB2312" w:eastAsia="仿宋_GB2312" w:cs="仿宋_GB2312"/>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基地规模</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≥500hm</w:t>
            </w:r>
            <w:r>
              <w:rPr>
                <w:rStyle w:val="10"/>
                <w:rFonts w:hint="eastAsia" w:ascii="仿宋_GB2312" w:hAnsi="仿宋_GB2312" w:eastAsia="仿宋_GB2312" w:cs="仿宋_GB2312"/>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200hm</w:t>
            </w:r>
            <w:r>
              <w:rPr>
                <w:rStyle w:val="10"/>
                <w:rFonts w:hint="eastAsia" w:ascii="仿宋_GB2312" w:hAnsi="仿宋_GB2312" w:eastAsia="仿宋_GB2312" w:cs="仿宋_GB2312"/>
                <w:lang w:val="en-US" w:eastAsia="zh-CN" w:bidi="ar"/>
              </w:rPr>
              <w:t>2</w:t>
            </w:r>
            <w:r>
              <w:rPr>
                <w:rStyle w:val="11"/>
                <w:rFonts w:hint="eastAsia" w:ascii="仿宋_GB2312" w:hAnsi="仿宋_GB2312" w:eastAsia="仿宋_GB2312" w:cs="仿宋_GB2312"/>
                <w:lang w:val="en-US" w:eastAsia="zh-CN" w:bidi="ar"/>
              </w:rPr>
              <w:t>-500hm</w:t>
            </w:r>
            <w:r>
              <w:rPr>
                <w:rStyle w:val="10"/>
                <w:rFonts w:hint="eastAsia" w:ascii="仿宋_GB2312" w:hAnsi="仿宋_GB2312" w:eastAsia="仿宋_GB2312" w:cs="仿宋_GB2312"/>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5"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50hm</w:t>
            </w:r>
            <w:r>
              <w:rPr>
                <w:rStyle w:val="10"/>
                <w:rFonts w:hint="eastAsia" w:ascii="仿宋_GB2312" w:hAnsi="仿宋_GB2312" w:eastAsia="仿宋_GB2312" w:cs="仿宋_GB2312"/>
                <w:lang w:val="en-US" w:eastAsia="zh-CN" w:bidi="ar"/>
              </w:rPr>
              <w:t>2</w:t>
            </w:r>
            <w:r>
              <w:rPr>
                <w:rStyle w:val="11"/>
                <w:rFonts w:hint="eastAsia" w:ascii="仿宋_GB2312" w:hAnsi="仿宋_GB2312" w:eastAsia="仿宋_GB2312" w:cs="仿宋_GB2312"/>
                <w:lang w:val="en-US" w:eastAsia="zh-CN" w:bidi="ar"/>
              </w:rPr>
              <w:t>-200hm</w:t>
            </w:r>
            <w:r>
              <w:rPr>
                <w:rStyle w:val="10"/>
                <w:rFonts w:hint="eastAsia" w:ascii="仿宋_GB2312" w:hAnsi="仿宋_GB2312" w:eastAsia="仿宋_GB2312" w:cs="仿宋_GB2312"/>
                <w:lang w:val="en-US" w:eastAsia="zh-CN" w:bidi="ar"/>
              </w:rPr>
              <w:t>2</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基地森林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覆盖率</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70%-80%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5"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60%-70%</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4</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 xml:space="preserve">平均森林 </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郁闭度</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0.7-0.8</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0.5-0.7</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5"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0.4-0.5</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1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生物多样性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动植物资源极其丰富，生境类型众多,具有丰富的森林(竹林)、灌丛林地、草地、湿地等，地城特色突出，多样性保护和监测系统完善</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动植物资源丰富,生境类型多样，具有森林(竹林)、灌木林地、草地、湿地等，有一定地方性特色，保护和监测系统完整有效</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6"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动植物资源相对丰富，能体现地方特色,设有保护和监测系统</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6</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森林风景资源质量</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非常好</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5</w:t>
            </w:r>
          </w:p>
        </w:tc>
        <w:tc>
          <w:tcPr>
            <w:tcW w:w="1215"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较好</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3</w:t>
            </w:r>
          </w:p>
        </w:tc>
        <w:tc>
          <w:tcPr>
            <w:tcW w:w="1215" w:type="dxa"/>
            <w:vMerge w:val="continue"/>
            <w:tcBorders>
              <w:left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w:t>
            </w:r>
          </w:p>
        </w:tc>
        <w:tc>
          <w:tcPr>
            <w:tcW w:w="121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7</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建设内容的完整性（30分）</w:t>
            </w: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森林康养产品与项目建设</w:t>
            </w: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森林康养产品</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的完整性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8</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森林康养产品类型的丰富性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≥6类</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4类-5类</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exac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1类-3类</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9</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森林康养基地设施建设</w:t>
            </w: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森林康养设施</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医疗应急设施建设</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配套基础设施</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森林康养服务能力与体系建设</w:t>
            </w: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森林康养服务团队建设</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森林康养培训体系建设</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14</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社会服务体系建设</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15</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运营销售体系建设</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16</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应急防灾体系建设</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较完整</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12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217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17</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森林康养设施的安全性</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（10分）</w:t>
            </w: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服务及游憩场所的安全性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18</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健身运动设施及场地的安全性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19</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森林康养项目的安全性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非常安全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较安全</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20</w:t>
            </w:r>
          </w:p>
        </w:tc>
        <w:tc>
          <w:tcPr>
            <w:tcW w:w="11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森林康养项目开展情况</w:t>
            </w:r>
            <w:r>
              <w:rPr>
                <w:rFonts w:hint="eastAsia" w:ascii="仿宋_GB2312" w:hAnsi="仿宋_GB2312" w:eastAsia="仿宋_GB2312" w:cs="仿宋_GB2312"/>
                <w:i w:val="0"/>
                <w:iCs w:val="0"/>
                <w:color w:val="000000"/>
                <w:kern w:val="0"/>
                <w:sz w:val="24"/>
                <w:szCs w:val="24"/>
                <w:u w:val="none"/>
                <w:lang w:val="en-US" w:eastAsia="zh-CN" w:bidi="ar"/>
              </w:rPr>
              <w:br w:type="textWrapping"/>
            </w:r>
            <w:r>
              <w:rPr>
                <w:rFonts w:hint="eastAsia" w:ascii="仿宋_GB2312" w:hAnsi="仿宋_GB2312" w:eastAsia="仿宋_GB2312" w:cs="仿宋_GB2312"/>
                <w:i w:val="0"/>
                <w:iCs w:val="0"/>
                <w:color w:val="000000"/>
                <w:kern w:val="0"/>
                <w:sz w:val="24"/>
                <w:szCs w:val="24"/>
                <w:u w:val="none"/>
                <w:lang w:val="en-US" w:eastAsia="zh-CN" w:bidi="ar"/>
              </w:rPr>
              <w:t>（30分）</w:t>
            </w: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森林康养项目设置的特色性</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突出特色</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一般特色</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普通</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21</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年开展森林康养体验活动</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（不少于50人/次）</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10次-20次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3次-10次</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22</w:t>
            </w: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年接待游客量</w:t>
            </w: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12万以上</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8万-12万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8</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6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c>
          <w:tcPr>
            <w:tcW w:w="11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341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2"/>
                <w:szCs w:val="22"/>
                <w:u w:val="none"/>
              </w:rPr>
            </w:pPr>
          </w:p>
        </w:tc>
        <w:tc>
          <w:tcPr>
            <w:tcW w:w="337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2万-8万</w:t>
            </w: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6</w:t>
            </w: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exact"/>
        </w:trPr>
        <w:tc>
          <w:tcPr>
            <w:tcW w:w="93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合计总分（100分）</w:t>
            </w:r>
          </w:p>
        </w:tc>
        <w:tc>
          <w:tcPr>
            <w:tcW w:w="12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582" w:type="dxa"/>
            <w:gridSpan w:val="7"/>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依据《森林康养基地质量评定》LY/T2934-2018、《广东省森林康养基地建设指引》</w:t>
            </w:r>
          </w:p>
        </w:tc>
      </w:tr>
    </w:tbl>
    <w:p>
      <w:pPr>
        <w:widowControl w:val="0"/>
        <w:numPr>
          <w:ilvl w:val="0"/>
          <w:numId w:val="0"/>
        </w:numPr>
        <w:jc w:val="both"/>
        <w:rPr>
          <w:rFonts w:hint="default" w:ascii="仿宋" w:hAnsi="仿宋" w:eastAsia="仿宋" w:cs="仿宋"/>
          <w:b w:val="0"/>
          <w:bCs w:val="0"/>
          <w:sz w:val="32"/>
          <w:szCs w:val="40"/>
          <w:lang w:val="en-US" w:eastAsia="zh-CN"/>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C9BD873-5E04-4ADE-A0FE-2D31D8AA570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2DE1B82-14AF-4BA2-BFA4-0FC1C7439F1F}"/>
  </w:font>
  <w:font w:name="方正小标宋简体">
    <w:panose1 w:val="02000000000000000000"/>
    <w:charset w:val="86"/>
    <w:family w:val="auto"/>
    <w:pitch w:val="default"/>
    <w:sig w:usb0="00000001" w:usb1="080E0000" w:usb2="00000000" w:usb3="00000000" w:csb0="00040000" w:csb1="00000000"/>
    <w:embedRegular r:id="rId3" w:fontKey="{1E70CFE3-BE5C-40DB-9C7C-CA8E92255119}"/>
  </w:font>
  <w:font w:name="楷体_GB2312">
    <w:panose1 w:val="02010609030101010101"/>
    <w:charset w:val="86"/>
    <w:family w:val="auto"/>
    <w:pitch w:val="default"/>
    <w:sig w:usb0="00000001" w:usb1="080E0000" w:usb2="00000000" w:usb3="00000000" w:csb0="00040000" w:csb1="00000000"/>
    <w:embedRegular r:id="rId4" w:fontKey="{F5D3A59B-5509-4AC1-9E11-34C38F14DD9E}"/>
  </w:font>
  <w:font w:name="仿宋_GB2312">
    <w:panose1 w:val="02010609030101010101"/>
    <w:charset w:val="86"/>
    <w:family w:val="auto"/>
    <w:pitch w:val="default"/>
    <w:sig w:usb0="00000001" w:usb1="080E0000" w:usb2="00000000" w:usb3="00000000" w:csb0="00040000" w:csb1="00000000"/>
    <w:embedRegular r:id="rId5" w:fontKey="{3623E498-A2A9-4209-B554-AE11B1D72E85}"/>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C86FBC"/>
    <w:multiLevelType w:val="singleLevel"/>
    <w:tmpl w:val="E0C86FBC"/>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MDYxZGU4MDllNjIzYWJhYmE0ODNjY2MwYzQ4ZWMifQ=="/>
  </w:docVars>
  <w:rsids>
    <w:rsidRoot w:val="4AA822C2"/>
    <w:rsid w:val="000C3DA7"/>
    <w:rsid w:val="0011760F"/>
    <w:rsid w:val="00F766DB"/>
    <w:rsid w:val="037E320E"/>
    <w:rsid w:val="03853E44"/>
    <w:rsid w:val="05A57982"/>
    <w:rsid w:val="06B807E5"/>
    <w:rsid w:val="0768220B"/>
    <w:rsid w:val="08855531"/>
    <w:rsid w:val="0A790657"/>
    <w:rsid w:val="0AC0410C"/>
    <w:rsid w:val="0E680D42"/>
    <w:rsid w:val="0FCB1589"/>
    <w:rsid w:val="0FD4558F"/>
    <w:rsid w:val="10795489"/>
    <w:rsid w:val="14861F22"/>
    <w:rsid w:val="161A0B74"/>
    <w:rsid w:val="16E2350D"/>
    <w:rsid w:val="17176A71"/>
    <w:rsid w:val="173C56DA"/>
    <w:rsid w:val="176150A1"/>
    <w:rsid w:val="19597C05"/>
    <w:rsid w:val="19DC6298"/>
    <w:rsid w:val="1A0170D6"/>
    <w:rsid w:val="1A0A05D4"/>
    <w:rsid w:val="1A332204"/>
    <w:rsid w:val="1D61352C"/>
    <w:rsid w:val="1DFE0D7B"/>
    <w:rsid w:val="1E6F6D28"/>
    <w:rsid w:val="1FE16BA6"/>
    <w:rsid w:val="1FFA1D1E"/>
    <w:rsid w:val="219005E8"/>
    <w:rsid w:val="21997739"/>
    <w:rsid w:val="224C6C64"/>
    <w:rsid w:val="23ED1676"/>
    <w:rsid w:val="24F1163A"/>
    <w:rsid w:val="26355556"/>
    <w:rsid w:val="279B588D"/>
    <w:rsid w:val="2B0D0303"/>
    <w:rsid w:val="2D392502"/>
    <w:rsid w:val="2DA07759"/>
    <w:rsid w:val="2E9D3376"/>
    <w:rsid w:val="301574EF"/>
    <w:rsid w:val="30C714A1"/>
    <w:rsid w:val="325F2DA1"/>
    <w:rsid w:val="32CC5CB8"/>
    <w:rsid w:val="33185FE3"/>
    <w:rsid w:val="381E5E4A"/>
    <w:rsid w:val="39512D51"/>
    <w:rsid w:val="3B3052E5"/>
    <w:rsid w:val="3CF16761"/>
    <w:rsid w:val="3E406E8C"/>
    <w:rsid w:val="3F1C4764"/>
    <w:rsid w:val="408F6F36"/>
    <w:rsid w:val="410C5D68"/>
    <w:rsid w:val="41F92911"/>
    <w:rsid w:val="45800144"/>
    <w:rsid w:val="45F3589E"/>
    <w:rsid w:val="479B1265"/>
    <w:rsid w:val="48065B19"/>
    <w:rsid w:val="498F6A02"/>
    <w:rsid w:val="4AA822C2"/>
    <w:rsid w:val="4AEE5B50"/>
    <w:rsid w:val="4B2E23F0"/>
    <w:rsid w:val="4C3F7C92"/>
    <w:rsid w:val="4D901140"/>
    <w:rsid w:val="4ED66FBD"/>
    <w:rsid w:val="5122044E"/>
    <w:rsid w:val="5208025E"/>
    <w:rsid w:val="52650CB5"/>
    <w:rsid w:val="54011AE0"/>
    <w:rsid w:val="56A02AE1"/>
    <w:rsid w:val="575E56D0"/>
    <w:rsid w:val="583F0AAB"/>
    <w:rsid w:val="58AE4C17"/>
    <w:rsid w:val="59282B75"/>
    <w:rsid w:val="5B1F3B03"/>
    <w:rsid w:val="5B597015"/>
    <w:rsid w:val="5C702869"/>
    <w:rsid w:val="5D6D5EDC"/>
    <w:rsid w:val="5E345D1B"/>
    <w:rsid w:val="5EE96902"/>
    <w:rsid w:val="5F160D31"/>
    <w:rsid w:val="604F4E8B"/>
    <w:rsid w:val="6055328E"/>
    <w:rsid w:val="60AF1ED3"/>
    <w:rsid w:val="60F03CB7"/>
    <w:rsid w:val="649B41FB"/>
    <w:rsid w:val="64BE25DF"/>
    <w:rsid w:val="65721B88"/>
    <w:rsid w:val="699D27C3"/>
    <w:rsid w:val="6A242EE4"/>
    <w:rsid w:val="6A94006A"/>
    <w:rsid w:val="6C9A123C"/>
    <w:rsid w:val="6D65184A"/>
    <w:rsid w:val="6EA81188"/>
    <w:rsid w:val="70AA3EA1"/>
    <w:rsid w:val="70C235E1"/>
    <w:rsid w:val="70E872EC"/>
    <w:rsid w:val="74024296"/>
    <w:rsid w:val="7463285B"/>
    <w:rsid w:val="75C451B6"/>
    <w:rsid w:val="75F74C56"/>
    <w:rsid w:val="773D1E39"/>
    <w:rsid w:val="77E8589D"/>
    <w:rsid w:val="78870772"/>
    <w:rsid w:val="79064EBE"/>
    <w:rsid w:val="7A74066E"/>
    <w:rsid w:val="7E2C67DF"/>
    <w:rsid w:val="7E7347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before="260" w:beforeLines="0" w:beforeAutospacing="0" w:after="260" w:afterLines="0" w:afterAutospacing="0" w:line="413" w:lineRule="auto"/>
      <w:ind w:left="420" w:leftChars="200"/>
      <w:outlineLvl w:val="2"/>
    </w:pPr>
    <w:rPr>
      <w:rFonts w:asciiTheme="minorAscii" w:hAnsiTheme="minorAscii"/>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character" w:customStyle="1" w:styleId="6">
    <w:name w:val="font31"/>
    <w:basedOn w:val="5"/>
    <w:qFormat/>
    <w:uiPriority w:val="0"/>
    <w:rPr>
      <w:rFonts w:hint="eastAsia" w:ascii="仿宋" w:hAnsi="仿宋" w:eastAsia="仿宋" w:cs="仿宋"/>
      <w:color w:val="000000"/>
      <w:sz w:val="22"/>
      <w:szCs w:val="22"/>
      <w:u w:val="none"/>
    </w:rPr>
  </w:style>
  <w:style w:type="character" w:customStyle="1" w:styleId="7">
    <w:name w:val="font41"/>
    <w:basedOn w:val="5"/>
    <w:qFormat/>
    <w:uiPriority w:val="0"/>
    <w:rPr>
      <w:rFonts w:hint="eastAsia" w:ascii="仿宋" w:hAnsi="仿宋" w:eastAsia="仿宋" w:cs="仿宋"/>
      <w:color w:val="000000"/>
      <w:sz w:val="22"/>
      <w:szCs w:val="22"/>
      <w:u w:val="none"/>
      <w:vertAlign w:val="superscript"/>
    </w:rPr>
  </w:style>
  <w:style w:type="character" w:customStyle="1" w:styleId="8">
    <w:name w:val="font21"/>
    <w:basedOn w:val="5"/>
    <w:qFormat/>
    <w:uiPriority w:val="0"/>
    <w:rPr>
      <w:rFonts w:hint="eastAsia" w:ascii="仿宋" w:hAnsi="仿宋" w:eastAsia="仿宋" w:cs="仿宋"/>
      <w:color w:val="000000"/>
      <w:sz w:val="24"/>
      <w:szCs w:val="24"/>
      <w:u w:val="none"/>
      <w:vertAlign w:val="superscript"/>
    </w:rPr>
  </w:style>
  <w:style w:type="character" w:customStyle="1" w:styleId="9">
    <w:name w:val="font01"/>
    <w:basedOn w:val="5"/>
    <w:qFormat/>
    <w:uiPriority w:val="0"/>
    <w:rPr>
      <w:rFonts w:hint="eastAsia" w:ascii="仿宋" w:hAnsi="仿宋" w:eastAsia="仿宋" w:cs="仿宋"/>
      <w:color w:val="000000"/>
      <w:sz w:val="24"/>
      <w:szCs w:val="24"/>
      <w:u w:val="none"/>
    </w:rPr>
  </w:style>
  <w:style w:type="character" w:customStyle="1" w:styleId="10">
    <w:name w:val="font71"/>
    <w:basedOn w:val="5"/>
    <w:qFormat/>
    <w:uiPriority w:val="0"/>
    <w:rPr>
      <w:rFonts w:hint="eastAsia" w:ascii="仿宋" w:hAnsi="仿宋" w:eastAsia="仿宋" w:cs="仿宋"/>
      <w:color w:val="000000"/>
      <w:sz w:val="22"/>
      <w:szCs w:val="22"/>
      <w:u w:val="none"/>
      <w:vertAlign w:val="superscript"/>
    </w:rPr>
  </w:style>
  <w:style w:type="character" w:customStyle="1" w:styleId="11">
    <w:name w:val="font61"/>
    <w:basedOn w:val="5"/>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2308</Words>
  <Characters>2532</Characters>
  <Lines>0</Lines>
  <Paragraphs>0</Paragraphs>
  <TotalTime>95</TotalTime>
  <ScaleCrop>false</ScaleCrop>
  <LinksUpToDate>false</LinksUpToDate>
  <CharactersWithSpaces>2570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2023-02-07T03:04:00Z</dcterms:created>
  <dc:creator>茶森</dc:creator>
  <cp:lastModifiedBy>刘式超</cp:lastModifiedBy>
  <dcterms:modified xsi:type="dcterms:W3CDTF">2023-06-27T13:44:44Z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2241F024892A4E1FB837ADC0440DE645</vt:lpwstr>
  </property>
</Properties>
</file>